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7068" w14:textId="45B57B66" w:rsidR="001326B5" w:rsidRPr="00E25668" w:rsidRDefault="0055690F" w:rsidP="00E25668">
      <w:pPr>
        <w:pStyle w:val="Heading1"/>
        <w:rPr>
          <w:color w:val="538135" w:themeColor="accent6" w:themeShade="BF"/>
        </w:rPr>
      </w:pPr>
      <w:r w:rsidRPr="00E25668">
        <w:rPr>
          <w:color w:val="538135" w:themeColor="accent6" w:themeShade="BF"/>
        </w:rPr>
        <w:t>Conservation Board - Liaison policy</w:t>
      </w:r>
    </w:p>
    <w:p w14:paraId="7E602BED" w14:textId="62CE58F1" w:rsidR="0055690F" w:rsidRPr="00A95DA7" w:rsidRDefault="0055690F" w:rsidP="00A95DA7">
      <w:pPr>
        <w:pStyle w:val="Heading2"/>
        <w:rPr>
          <w:rFonts w:eastAsia="Times New Roman"/>
          <w:color w:val="548235"/>
        </w:rPr>
      </w:pPr>
    </w:p>
    <w:p w14:paraId="54D53220" w14:textId="5AA1785E" w:rsidR="000A5286" w:rsidRPr="00E25668" w:rsidRDefault="00E54B08" w:rsidP="00E25668">
      <w:pPr>
        <w:pStyle w:val="Heading2"/>
        <w:rPr>
          <w:rFonts w:eastAsia="Times New Roman"/>
          <w:color w:val="548235"/>
        </w:rPr>
      </w:pPr>
      <w:r w:rsidRPr="00E25668">
        <w:rPr>
          <w:rFonts w:eastAsia="Times New Roman"/>
          <w:color w:val="548235"/>
        </w:rPr>
        <w:t>[</w:t>
      </w:r>
      <w:r w:rsidR="00AD5764" w:rsidRPr="00A95DA7">
        <w:rPr>
          <w:rFonts w:eastAsia="Times New Roman"/>
          <w:color w:val="548235"/>
          <w:highlight w:val="yellow"/>
        </w:rPr>
        <w:t>Name of Board</w:t>
      </w:r>
      <w:r w:rsidRPr="00E25668">
        <w:rPr>
          <w:rFonts w:eastAsia="Times New Roman"/>
          <w:color w:val="548235"/>
        </w:rPr>
        <w:t xml:space="preserve">] </w:t>
      </w:r>
      <w:r w:rsidR="000A5286" w:rsidRPr="00E25668">
        <w:rPr>
          <w:rFonts w:eastAsia="Times New Roman"/>
          <w:color w:val="548235"/>
        </w:rPr>
        <w:t xml:space="preserve">Conservation Board liaison </w:t>
      </w:r>
      <w:r w:rsidR="00A30E4A" w:rsidRPr="00E25668">
        <w:rPr>
          <w:rFonts w:eastAsia="Times New Roman"/>
          <w:color w:val="548235"/>
        </w:rPr>
        <w:t>policy</w:t>
      </w:r>
      <w:r w:rsidRPr="00E25668">
        <w:rPr>
          <w:rFonts w:eastAsia="Times New Roman"/>
          <w:color w:val="548235"/>
        </w:rPr>
        <w:t xml:space="preserve"> </w:t>
      </w:r>
    </w:p>
    <w:p w14:paraId="11F0E7D2" w14:textId="2097D011" w:rsidR="000A5286" w:rsidRPr="00E25668" w:rsidRDefault="00A30E4A" w:rsidP="00E25668">
      <w:pPr>
        <w:pStyle w:val="Body"/>
      </w:pPr>
      <w:r w:rsidRPr="00E25668">
        <w:t>This</w:t>
      </w:r>
      <w:r w:rsidR="0049167A" w:rsidRPr="00E25668">
        <w:t xml:space="preserve"> policy</w:t>
      </w:r>
      <w:r w:rsidRPr="00E25668">
        <w:t xml:space="preserve"> </w:t>
      </w:r>
      <w:r w:rsidR="00E54B08" w:rsidRPr="00E25668">
        <w:t xml:space="preserve">defines </w:t>
      </w:r>
      <w:r w:rsidR="000A5286" w:rsidRPr="00E25668">
        <w:t>how the Board will</w:t>
      </w:r>
      <w:r w:rsidRPr="00E25668">
        <w:t xml:space="preserve"> undertake</w:t>
      </w:r>
      <w:r w:rsidR="000A5286" w:rsidRPr="00E25668">
        <w:t xml:space="preserve"> liais</w:t>
      </w:r>
      <w:r w:rsidRPr="00E25668">
        <w:t>on</w:t>
      </w:r>
      <w:r w:rsidR="000A5286" w:rsidRPr="00E25668">
        <w:t xml:space="preserve"> </w:t>
      </w:r>
      <w:r w:rsidR="00E25668">
        <w:t xml:space="preserve">activity </w:t>
      </w:r>
      <w:r w:rsidR="000A5286" w:rsidRPr="00E25668">
        <w:t xml:space="preserve">with its neighbouring </w:t>
      </w:r>
      <w:r w:rsidRPr="00E25668">
        <w:t>C</w:t>
      </w:r>
      <w:r w:rsidR="000A5286" w:rsidRPr="00E25668">
        <w:t xml:space="preserve">onservation </w:t>
      </w:r>
      <w:r w:rsidRPr="00E25668">
        <w:t>B</w:t>
      </w:r>
      <w:r w:rsidR="000A5286" w:rsidRPr="00E25668">
        <w:t xml:space="preserve">oards </w:t>
      </w:r>
      <w:r w:rsidR="00E25668">
        <w:t>and</w:t>
      </w:r>
      <w:r w:rsidR="00BE73F3" w:rsidRPr="00E25668">
        <w:t xml:space="preserve"> other conservation organisations</w:t>
      </w:r>
      <w:r w:rsidR="00E25668">
        <w:t xml:space="preserve"> (</w:t>
      </w:r>
      <w:r w:rsidR="00BE73F3" w:rsidRPr="00E25668">
        <w:t>such as Fish &amp; Game</w:t>
      </w:r>
      <w:r w:rsidR="00E25668">
        <w:t>)</w:t>
      </w:r>
      <w:r w:rsidR="00BE73F3" w:rsidRPr="00E25668">
        <w:t xml:space="preserve">, </w:t>
      </w:r>
      <w:r w:rsidR="00E25668">
        <w:t>plus</w:t>
      </w:r>
      <w:r w:rsidR="000A5286" w:rsidRPr="00E25668">
        <w:t xml:space="preserve"> expectations of appointees to </w:t>
      </w:r>
      <w:r w:rsidRPr="00E25668">
        <w:t xml:space="preserve">Board </w:t>
      </w:r>
      <w:r w:rsidR="000A5286" w:rsidRPr="00E25668">
        <w:t>liaison role</w:t>
      </w:r>
      <w:r w:rsidR="00E25668">
        <w:t>s</w:t>
      </w:r>
      <w:r w:rsidR="000A5286" w:rsidRPr="00E25668">
        <w:t>.</w:t>
      </w:r>
    </w:p>
    <w:p w14:paraId="61FA0FDF" w14:textId="31366543" w:rsidR="000A5286" w:rsidRPr="00E25668" w:rsidRDefault="00B172A8" w:rsidP="00E25668">
      <w:pPr>
        <w:pStyle w:val="Heading2"/>
        <w:rPr>
          <w:rFonts w:eastAsia="Times New Roman"/>
          <w:color w:val="548235"/>
        </w:rPr>
      </w:pPr>
      <w:r w:rsidRPr="00E25668">
        <w:rPr>
          <w:rFonts w:eastAsia="Times New Roman"/>
          <w:color w:val="548235"/>
        </w:rPr>
        <w:t>Liaison</w:t>
      </w:r>
      <w:r w:rsidR="00BE73F3" w:rsidRPr="00E25668">
        <w:rPr>
          <w:rFonts w:eastAsia="Times New Roman"/>
          <w:color w:val="548235"/>
        </w:rPr>
        <w:t xml:space="preserve"> with neighbouring C</w:t>
      </w:r>
      <w:r w:rsidR="00AE52CE" w:rsidRPr="00E25668">
        <w:rPr>
          <w:rFonts w:eastAsia="Times New Roman"/>
          <w:color w:val="548235"/>
        </w:rPr>
        <w:t xml:space="preserve">onservation </w:t>
      </w:r>
      <w:r w:rsidR="00BE73F3" w:rsidRPr="00E25668">
        <w:rPr>
          <w:rFonts w:eastAsia="Times New Roman"/>
          <w:color w:val="548235"/>
        </w:rPr>
        <w:t>B</w:t>
      </w:r>
      <w:r w:rsidR="00AE52CE" w:rsidRPr="00E25668">
        <w:rPr>
          <w:rFonts w:eastAsia="Times New Roman"/>
          <w:color w:val="548235"/>
        </w:rPr>
        <w:t>oard</w:t>
      </w:r>
      <w:r w:rsidR="00BE73F3" w:rsidRPr="00E25668">
        <w:rPr>
          <w:rFonts w:eastAsia="Times New Roman"/>
          <w:color w:val="548235"/>
        </w:rPr>
        <w:t>s</w:t>
      </w:r>
    </w:p>
    <w:p w14:paraId="0B47CD7C" w14:textId="3FBEF7AE" w:rsidR="00DE234C" w:rsidRPr="00E25668" w:rsidRDefault="00DE234C" w:rsidP="00E25668">
      <w:pPr>
        <w:pStyle w:val="Body"/>
      </w:pPr>
      <w:r w:rsidRPr="00E25668">
        <w:t xml:space="preserve">Effective liaison </w:t>
      </w:r>
      <w:r w:rsidR="00E25668">
        <w:t xml:space="preserve">activity </w:t>
      </w:r>
      <w:r w:rsidRPr="00E25668">
        <w:t>between Boards enable</w:t>
      </w:r>
      <w:r w:rsidR="00E25668">
        <w:t>s</w:t>
      </w:r>
      <w:r w:rsidRPr="00E25668">
        <w:t xml:space="preserve"> collaboration across </w:t>
      </w:r>
      <w:proofErr w:type="spellStart"/>
      <w:r w:rsidRPr="00E25668">
        <w:t>rohe</w:t>
      </w:r>
      <w:proofErr w:type="spellEnd"/>
      <w:r w:rsidRPr="00E25668">
        <w:t xml:space="preserve"> </w:t>
      </w:r>
      <w:r w:rsidR="00E25668">
        <w:t>to</w:t>
      </w:r>
      <w:r w:rsidRPr="00E25668">
        <w:t xml:space="preserve"> maximise conservation outcomes. </w:t>
      </w:r>
      <w:r w:rsidR="00E25668" w:rsidRPr="00E25668">
        <w:t xml:space="preserve">A </w:t>
      </w:r>
      <w:r w:rsidR="00DC51FE">
        <w:t>Board liaison helps to</w:t>
      </w:r>
      <w:r w:rsidR="00E25668" w:rsidRPr="00E25668">
        <w:t xml:space="preserve"> establish</w:t>
      </w:r>
      <w:r w:rsidR="00DC51FE">
        <w:t xml:space="preserve"> and maintain</w:t>
      </w:r>
      <w:r w:rsidR="00E25668" w:rsidRPr="00E25668">
        <w:t xml:space="preserve"> relationships and provide communication between neighbouring Conservation Boards.</w:t>
      </w:r>
    </w:p>
    <w:p w14:paraId="4F132CB2" w14:textId="1C791AE2" w:rsidR="00E54B08" w:rsidRPr="00E25668" w:rsidRDefault="00E54B08" w:rsidP="00E25668">
      <w:pPr>
        <w:pStyle w:val="Body"/>
      </w:pPr>
      <w:r w:rsidRPr="00E25668">
        <w:t>A board member will be appointed as a liaison for each of the following neighbouring Boards</w:t>
      </w:r>
      <w:r w:rsidR="00DC51FE">
        <w:t>:</w:t>
      </w:r>
    </w:p>
    <w:p w14:paraId="2DA69B3B" w14:textId="35A32186" w:rsidR="00E54B08" w:rsidRPr="00E25668" w:rsidRDefault="006D646A" w:rsidP="00E25668">
      <w:pPr>
        <w:pStyle w:val="Body"/>
      </w:pPr>
      <w:r w:rsidRPr="00E25668">
        <w:t>1.</w:t>
      </w:r>
      <w:r w:rsidRPr="00E25668">
        <w:tab/>
      </w:r>
      <w:r w:rsidR="00E54B08" w:rsidRPr="00E25668">
        <w:t>[</w:t>
      </w:r>
      <w:r w:rsidR="00E54B08" w:rsidRPr="00E25668">
        <w:rPr>
          <w:highlight w:val="yellow"/>
        </w:rPr>
        <w:t>name of Board</w:t>
      </w:r>
      <w:r w:rsidR="00E54B08" w:rsidRPr="00E25668">
        <w:t xml:space="preserve">] </w:t>
      </w:r>
    </w:p>
    <w:p w14:paraId="6B9DF5DB" w14:textId="2E4BFE48" w:rsidR="00E54B08" w:rsidRPr="00E25668" w:rsidRDefault="006D646A" w:rsidP="00E25668">
      <w:pPr>
        <w:pStyle w:val="Body"/>
      </w:pPr>
      <w:r w:rsidRPr="00E25668">
        <w:t>2.</w:t>
      </w:r>
      <w:r w:rsidRPr="00E25668">
        <w:tab/>
      </w:r>
      <w:r w:rsidR="00E54B08" w:rsidRPr="00E25668">
        <w:t>[</w:t>
      </w:r>
      <w:r w:rsidR="00E54B08" w:rsidRPr="00E25668">
        <w:rPr>
          <w:highlight w:val="yellow"/>
        </w:rPr>
        <w:t>name of Board</w:t>
      </w:r>
      <w:r w:rsidR="00E54B08" w:rsidRPr="00E25668">
        <w:t>]</w:t>
      </w:r>
    </w:p>
    <w:p w14:paraId="7DBF6B7D" w14:textId="74EBFDEB" w:rsidR="00E54B08" w:rsidRPr="00E25668" w:rsidRDefault="00DC51FE" w:rsidP="00E25668">
      <w:pPr>
        <w:pStyle w:val="Body"/>
      </w:pPr>
      <w:r>
        <w:t>N</w:t>
      </w:r>
      <w:r w:rsidR="002E3DE3" w:rsidRPr="00E25668">
        <w:t xml:space="preserve">eighbouring Boards </w:t>
      </w:r>
      <w:r w:rsidR="00C65A1B" w:rsidRPr="00E25668">
        <w:t>are encouraged to</w:t>
      </w:r>
      <w:r w:rsidR="000A5286" w:rsidRPr="00E25668">
        <w:t xml:space="preserve"> shar</w:t>
      </w:r>
      <w:r w:rsidR="00C65A1B" w:rsidRPr="00E25668">
        <w:t>e</w:t>
      </w:r>
      <w:r w:rsidR="000A5286" w:rsidRPr="00E25668">
        <w:t xml:space="preserve"> information and best practice, and keep</w:t>
      </w:r>
      <w:r w:rsidR="00C65A1B" w:rsidRPr="00E25668">
        <w:t xml:space="preserve"> the respective B</w:t>
      </w:r>
      <w:r w:rsidR="000A5286" w:rsidRPr="00E25668">
        <w:t>oards informed about cross-boundary interests and issues.</w:t>
      </w:r>
    </w:p>
    <w:p w14:paraId="14ED12D4" w14:textId="7B384DF8" w:rsidR="000A5286" w:rsidRPr="00E25668" w:rsidRDefault="000A5286" w:rsidP="00E25668">
      <w:pPr>
        <w:pStyle w:val="Heading2"/>
        <w:rPr>
          <w:rFonts w:eastAsia="Times New Roman"/>
          <w:color w:val="548235"/>
        </w:rPr>
      </w:pPr>
      <w:r w:rsidRPr="00E25668">
        <w:rPr>
          <w:rFonts w:eastAsia="Times New Roman"/>
          <w:color w:val="548235"/>
        </w:rPr>
        <w:t xml:space="preserve">Assignment of </w:t>
      </w:r>
      <w:r w:rsidR="003A09AF" w:rsidRPr="00E25668">
        <w:rPr>
          <w:rFonts w:eastAsia="Times New Roman"/>
          <w:color w:val="548235"/>
        </w:rPr>
        <w:t xml:space="preserve">liaison </w:t>
      </w:r>
      <w:r w:rsidRPr="00E25668">
        <w:rPr>
          <w:rFonts w:eastAsia="Times New Roman"/>
          <w:color w:val="548235"/>
        </w:rPr>
        <w:t>roles</w:t>
      </w:r>
    </w:p>
    <w:p w14:paraId="60476C3E" w14:textId="327A53B4" w:rsidR="00CF6C7D" w:rsidRPr="00E25668" w:rsidRDefault="007719A9" w:rsidP="00E25668">
      <w:pPr>
        <w:pStyle w:val="Body"/>
      </w:pPr>
      <w:r w:rsidRPr="00E25668">
        <w:t>After</w:t>
      </w:r>
      <w:r w:rsidR="000A5286" w:rsidRPr="00E25668">
        <w:t xml:space="preserve"> </w:t>
      </w:r>
      <w:r w:rsidR="00DC51FE">
        <w:t>new m</w:t>
      </w:r>
      <w:r w:rsidR="000A5286" w:rsidRPr="00E25668">
        <w:t>embers</w:t>
      </w:r>
      <w:r w:rsidR="00DC51FE">
        <w:t xml:space="preserve"> have been appointed</w:t>
      </w:r>
      <w:r w:rsidR="000A5286" w:rsidRPr="00E25668">
        <w:t xml:space="preserve">, the Board will review </w:t>
      </w:r>
      <w:r w:rsidR="00DC51FE">
        <w:t>its</w:t>
      </w:r>
      <w:r w:rsidRPr="00E25668">
        <w:t xml:space="preserve"> </w:t>
      </w:r>
      <w:r w:rsidR="003A09AF" w:rsidRPr="00E25668">
        <w:t>incumbent</w:t>
      </w:r>
      <w:r w:rsidR="00DC51FE">
        <w:t xml:space="preserve"> liaison/s, as well as membership of </w:t>
      </w:r>
      <w:r w:rsidR="00D7536B" w:rsidRPr="00E25668">
        <w:t xml:space="preserve">any cross-boundary </w:t>
      </w:r>
      <w:r w:rsidR="000A5286" w:rsidRPr="00E25668">
        <w:t xml:space="preserve">working groups </w:t>
      </w:r>
      <w:r w:rsidR="00D7536B" w:rsidRPr="00E25668">
        <w:t xml:space="preserve">that </w:t>
      </w:r>
      <w:r w:rsidR="00FD0709" w:rsidRPr="00E25668">
        <w:t>include a</w:t>
      </w:r>
      <w:r w:rsidR="003A09AF" w:rsidRPr="00E25668">
        <w:t xml:space="preserve"> </w:t>
      </w:r>
      <w:r w:rsidR="00D7536B" w:rsidRPr="00E25668">
        <w:t>liaison</w:t>
      </w:r>
      <w:r w:rsidR="003A09AF" w:rsidRPr="00E25668">
        <w:t>.</w:t>
      </w:r>
      <w:r w:rsidR="000A5286" w:rsidRPr="00E25668">
        <w:t xml:space="preserve"> </w:t>
      </w:r>
      <w:r w:rsidR="00E54B08" w:rsidRPr="00E25668">
        <w:t xml:space="preserve">All liaison roles will be filled. </w:t>
      </w:r>
    </w:p>
    <w:p w14:paraId="688AADB7" w14:textId="52C983F2" w:rsidR="00F901E3" w:rsidRPr="00E25668" w:rsidRDefault="00FD0709" w:rsidP="00E25668">
      <w:pPr>
        <w:pStyle w:val="Body"/>
      </w:pPr>
      <w:r w:rsidRPr="00E25668">
        <w:t>Whe</w:t>
      </w:r>
      <w:r w:rsidR="00CF6C7D" w:rsidRPr="00E25668">
        <w:t xml:space="preserve">n allocating a </w:t>
      </w:r>
      <w:r w:rsidR="00DC51FE">
        <w:t xml:space="preserve">member to a </w:t>
      </w:r>
      <w:r w:rsidR="00CF6C7D" w:rsidRPr="00E25668">
        <w:t>liaison</w:t>
      </w:r>
      <w:r w:rsidR="00DC51FE">
        <w:t xml:space="preserve"> role</w:t>
      </w:r>
      <w:r w:rsidR="00CF6C7D" w:rsidRPr="00E25668">
        <w:t xml:space="preserve">, </w:t>
      </w:r>
      <w:r w:rsidR="00F901E3" w:rsidRPr="00E25668">
        <w:t>the following considerations will be relevant:</w:t>
      </w:r>
    </w:p>
    <w:p w14:paraId="4CEE8FEB" w14:textId="380AE53F" w:rsidR="00F901E3" w:rsidRPr="009A05AF" w:rsidRDefault="0036454B" w:rsidP="00E25668">
      <w:pPr>
        <w:pStyle w:val="Body"/>
        <w:numPr>
          <w:ilvl w:val="0"/>
          <w:numId w:val="15"/>
        </w:numPr>
      </w:pPr>
      <w:r w:rsidRPr="009A05AF">
        <w:t>W</w:t>
      </w:r>
      <w:r w:rsidR="00F901E3" w:rsidRPr="009A05AF">
        <w:t>he</w:t>
      </w:r>
      <w:r w:rsidR="00E25668">
        <w:t xml:space="preserve">ther </w:t>
      </w:r>
      <w:r w:rsidR="00FD0709" w:rsidRPr="009A05AF">
        <w:t xml:space="preserve">the </w:t>
      </w:r>
      <w:r w:rsidR="00DC51FE">
        <w:t>member</w:t>
      </w:r>
      <w:r w:rsidR="00FD0709" w:rsidRPr="009A05AF">
        <w:t xml:space="preserve"> live</w:t>
      </w:r>
      <w:r w:rsidR="00E25668">
        <w:t>s</w:t>
      </w:r>
      <w:r w:rsidR="00FD0709" w:rsidRPr="009A05AF">
        <w:t xml:space="preserve"> </w:t>
      </w:r>
      <w:r w:rsidR="00CF6C7D" w:rsidRPr="009A05AF">
        <w:t xml:space="preserve">in, or </w:t>
      </w:r>
      <w:r w:rsidR="00FD0709" w:rsidRPr="009A05AF">
        <w:t>near</w:t>
      </w:r>
      <w:r w:rsidR="00CF6C7D" w:rsidRPr="009A05AF">
        <w:t xml:space="preserve">, the </w:t>
      </w:r>
      <w:proofErr w:type="spellStart"/>
      <w:r w:rsidR="00CF6C7D" w:rsidRPr="009A05AF">
        <w:t>rohe</w:t>
      </w:r>
      <w:proofErr w:type="spellEnd"/>
      <w:r w:rsidR="00CF6C7D" w:rsidRPr="009A05AF">
        <w:t xml:space="preserve"> of the neighbouring conservation board</w:t>
      </w:r>
      <w:r w:rsidR="0016196E" w:rsidRPr="009A05AF">
        <w:t>.</w:t>
      </w:r>
    </w:p>
    <w:p w14:paraId="69748AAB" w14:textId="6DB355CE" w:rsidR="00F901E3" w:rsidRPr="009A05AF" w:rsidRDefault="00E25668" w:rsidP="00E25668">
      <w:pPr>
        <w:pStyle w:val="Body"/>
        <w:numPr>
          <w:ilvl w:val="0"/>
          <w:numId w:val="15"/>
        </w:numPr>
      </w:pPr>
      <w:r>
        <w:t>Whether t</w:t>
      </w:r>
      <w:r w:rsidR="00F901E3" w:rsidRPr="009A05AF">
        <w:t xml:space="preserve">he </w:t>
      </w:r>
      <w:r w:rsidR="00DC51FE">
        <w:t xml:space="preserve">member </w:t>
      </w:r>
      <w:r>
        <w:t xml:space="preserve">has </w:t>
      </w:r>
      <w:r w:rsidR="00F901E3" w:rsidRPr="009A05AF">
        <w:t>associations with the</w:t>
      </w:r>
      <w:r w:rsidR="0036454B" w:rsidRPr="009A05AF">
        <w:t xml:space="preserve"> neighbouring Board</w:t>
      </w:r>
      <w:r w:rsidR="00F901E3" w:rsidRPr="009A05AF">
        <w:t xml:space="preserve"> area</w:t>
      </w:r>
      <w:r>
        <w:t>, for example</w:t>
      </w:r>
      <w:r w:rsidR="00F901E3" w:rsidRPr="009A05AF">
        <w:t xml:space="preserve"> through</w:t>
      </w:r>
      <w:r w:rsidR="009D12AB" w:rsidRPr="009A05AF">
        <w:t xml:space="preserve"> property interests, work, family</w:t>
      </w:r>
      <w:r>
        <w:t>/</w:t>
      </w:r>
      <w:r w:rsidR="009D12AB" w:rsidRPr="009A05AF">
        <w:t>friend connections, recreational activities</w:t>
      </w:r>
      <w:r w:rsidR="002E7C85" w:rsidRPr="009A05AF">
        <w:t>,</w:t>
      </w:r>
      <w:r w:rsidR="005A311F" w:rsidRPr="009A05AF">
        <w:t xml:space="preserve"> or other significant associations</w:t>
      </w:r>
      <w:r w:rsidR="009D12AB" w:rsidRPr="009A05AF">
        <w:t>.</w:t>
      </w:r>
    </w:p>
    <w:p w14:paraId="7B78780C" w14:textId="00046B12" w:rsidR="005A311F" w:rsidRPr="009A05AF" w:rsidRDefault="00E25668" w:rsidP="00E25668">
      <w:pPr>
        <w:pStyle w:val="Body"/>
        <w:numPr>
          <w:ilvl w:val="0"/>
          <w:numId w:val="15"/>
        </w:numPr>
      </w:pPr>
      <w:r>
        <w:t>Whether it is</w:t>
      </w:r>
      <w:r w:rsidR="005A311F" w:rsidRPr="009A05AF">
        <w:t xml:space="preserve"> </w:t>
      </w:r>
      <w:r w:rsidR="00F60718" w:rsidRPr="009A05AF">
        <w:t xml:space="preserve">logistically and financially feasible for the </w:t>
      </w:r>
      <w:r w:rsidR="00DC51FE">
        <w:t>member</w:t>
      </w:r>
      <w:r w:rsidR="00F60718" w:rsidRPr="009A05AF">
        <w:t xml:space="preserve"> to </w:t>
      </w:r>
      <w:r w:rsidR="002E7C85" w:rsidRPr="009A05AF">
        <w:t xml:space="preserve">attend </w:t>
      </w:r>
      <w:r w:rsidR="00DC51FE">
        <w:t xml:space="preserve">a </w:t>
      </w:r>
      <w:r w:rsidR="002E7C85" w:rsidRPr="009A05AF">
        <w:t>neighbouring</w:t>
      </w:r>
      <w:r>
        <w:t xml:space="preserve"> B</w:t>
      </w:r>
      <w:r w:rsidR="002E7C85" w:rsidRPr="009A05AF">
        <w:t>oard</w:t>
      </w:r>
      <w:r w:rsidR="00DC51FE">
        <w:t xml:space="preserve"> </w:t>
      </w:r>
      <w:r>
        <w:t>meeting</w:t>
      </w:r>
      <w:r w:rsidR="002E7C85" w:rsidRPr="009A05AF">
        <w:t xml:space="preserve"> in person </w:t>
      </w:r>
      <w:r>
        <w:t>(</w:t>
      </w:r>
      <w:r w:rsidR="00DC51FE">
        <w:t>if/</w:t>
      </w:r>
      <w:r w:rsidR="002E7C85" w:rsidRPr="009A05AF">
        <w:t>when required</w:t>
      </w:r>
      <w:r>
        <w:t>)</w:t>
      </w:r>
      <w:r w:rsidR="002E7C85" w:rsidRPr="009A05AF">
        <w:t>.</w:t>
      </w:r>
    </w:p>
    <w:p w14:paraId="381D7354" w14:textId="61D442FE" w:rsidR="000A5286" w:rsidRPr="00E25668" w:rsidRDefault="008634B0" w:rsidP="00E25668">
      <w:pPr>
        <w:pStyle w:val="Heading2"/>
        <w:rPr>
          <w:rFonts w:eastAsia="Times New Roman"/>
          <w:color w:val="548235"/>
        </w:rPr>
      </w:pPr>
      <w:r w:rsidRPr="00E25668">
        <w:rPr>
          <w:rFonts w:eastAsia="Times New Roman"/>
          <w:color w:val="548235"/>
        </w:rPr>
        <w:t>Liaison p</w:t>
      </w:r>
      <w:r w:rsidR="000A5286" w:rsidRPr="00E25668">
        <w:rPr>
          <w:rFonts w:eastAsia="Times New Roman"/>
          <w:color w:val="548235"/>
        </w:rPr>
        <w:t>rinciples</w:t>
      </w:r>
    </w:p>
    <w:p w14:paraId="5CDE2260" w14:textId="0AE312B5" w:rsidR="000A5286" w:rsidRPr="009A05AF" w:rsidRDefault="000A5286" w:rsidP="00DC51FE">
      <w:pPr>
        <w:pStyle w:val="Body"/>
        <w:numPr>
          <w:ilvl w:val="0"/>
          <w:numId w:val="16"/>
        </w:numPr>
      </w:pPr>
      <w:r w:rsidRPr="009A05AF">
        <w:t xml:space="preserve">Board </w:t>
      </w:r>
      <w:r w:rsidR="002F21CC" w:rsidRPr="009A05AF">
        <w:t xml:space="preserve">servicing </w:t>
      </w:r>
      <w:r w:rsidRPr="009A05AF">
        <w:t xml:space="preserve">staff will provide </w:t>
      </w:r>
      <w:r w:rsidR="008634B0" w:rsidRPr="009A05AF">
        <w:t xml:space="preserve">the liaison with </w:t>
      </w:r>
      <w:r w:rsidRPr="009A05AF">
        <w:t xml:space="preserve">notice of neighbouring </w:t>
      </w:r>
      <w:r w:rsidR="00DE7D87" w:rsidRPr="009A05AF">
        <w:t>B</w:t>
      </w:r>
      <w:r w:rsidRPr="009A05AF">
        <w:t>oard meetings</w:t>
      </w:r>
      <w:r w:rsidR="00DE7D87" w:rsidRPr="009A05AF">
        <w:t xml:space="preserve">, giving </w:t>
      </w:r>
      <w:r w:rsidR="0016196E" w:rsidRPr="009A05AF">
        <w:t xml:space="preserve">maximum notice to enable the liaison to attend. </w:t>
      </w:r>
    </w:p>
    <w:p w14:paraId="2DA45210" w14:textId="6EE51D4A" w:rsidR="004D4287" w:rsidRPr="006D646A" w:rsidRDefault="00B172A8" w:rsidP="00DC51FE">
      <w:pPr>
        <w:pStyle w:val="Body"/>
        <w:numPr>
          <w:ilvl w:val="0"/>
          <w:numId w:val="16"/>
        </w:numPr>
      </w:pPr>
      <w:r w:rsidRPr="006D646A">
        <w:t xml:space="preserve">The liaison may attend </w:t>
      </w:r>
      <w:r w:rsidR="0078239F" w:rsidRPr="006D646A">
        <w:t>neighbo</w:t>
      </w:r>
      <w:r w:rsidR="00B023BF" w:rsidRPr="006D646A">
        <w:t>uring Board meetings</w:t>
      </w:r>
      <w:r w:rsidR="00E25668">
        <w:t xml:space="preserve"> </w:t>
      </w:r>
      <w:r w:rsidR="00DC51FE">
        <w:t xml:space="preserve">either </w:t>
      </w:r>
      <w:r w:rsidR="00E25668">
        <w:t xml:space="preserve">in person or via </w:t>
      </w:r>
      <w:r w:rsidR="00DC51FE">
        <w:t>MS Teams</w:t>
      </w:r>
      <w:r w:rsidR="004D4287" w:rsidRPr="006D646A">
        <w:t>.</w:t>
      </w:r>
    </w:p>
    <w:p w14:paraId="50D993F1" w14:textId="4B959EBF" w:rsidR="000A5286" w:rsidRPr="006D646A" w:rsidRDefault="0016196E" w:rsidP="00DC51FE">
      <w:pPr>
        <w:pStyle w:val="Body"/>
        <w:numPr>
          <w:ilvl w:val="0"/>
          <w:numId w:val="16"/>
        </w:numPr>
      </w:pPr>
      <w:r w:rsidRPr="006D646A">
        <w:t xml:space="preserve">Engagement </w:t>
      </w:r>
      <w:r w:rsidR="004D4287" w:rsidRPr="006D646A">
        <w:t xml:space="preserve">between </w:t>
      </w:r>
      <w:r w:rsidRPr="006D646A">
        <w:t xml:space="preserve">Board </w:t>
      </w:r>
      <w:r w:rsidR="004D4287" w:rsidRPr="006D646A">
        <w:t xml:space="preserve">meetings </w:t>
      </w:r>
      <w:r w:rsidRPr="006D646A">
        <w:t xml:space="preserve">will occur </w:t>
      </w:r>
      <w:r w:rsidR="000A5286" w:rsidRPr="006D646A">
        <w:t xml:space="preserve">through </w:t>
      </w:r>
      <w:r w:rsidR="00B023BF" w:rsidRPr="006D646A">
        <w:t>phone</w:t>
      </w:r>
      <w:r w:rsidRPr="006D646A">
        <w:t xml:space="preserve">, </w:t>
      </w:r>
      <w:proofErr w:type="gramStart"/>
      <w:r w:rsidRPr="006D646A">
        <w:t>email</w:t>
      </w:r>
      <w:proofErr w:type="gramEnd"/>
      <w:r w:rsidR="00B023BF" w:rsidRPr="006D646A">
        <w:t xml:space="preserve"> or </w:t>
      </w:r>
      <w:r w:rsidRPr="006D646A">
        <w:t>MS Teams</w:t>
      </w:r>
      <w:r w:rsidR="001C6522" w:rsidRPr="006D646A">
        <w:t>.</w:t>
      </w:r>
    </w:p>
    <w:p w14:paraId="61AA7EE2" w14:textId="0F46961E" w:rsidR="006C1807" w:rsidRDefault="00DE234C" w:rsidP="00DC51FE">
      <w:pPr>
        <w:pStyle w:val="Body"/>
        <w:numPr>
          <w:ilvl w:val="0"/>
          <w:numId w:val="16"/>
        </w:numPr>
      </w:pPr>
      <w:r w:rsidRPr="006D646A">
        <w:t xml:space="preserve">The liaison will ensure they are fully prepared </w:t>
      </w:r>
      <w:r w:rsidR="002F21CC" w:rsidRPr="006D646A">
        <w:t>for meeting</w:t>
      </w:r>
      <w:r w:rsidR="00DC51FE">
        <w:t>s</w:t>
      </w:r>
      <w:r w:rsidR="002F21CC" w:rsidRPr="006D646A">
        <w:t xml:space="preserve">, including </w:t>
      </w:r>
      <w:r w:rsidR="00DC51FE">
        <w:t xml:space="preserve">having pre-meeting </w:t>
      </w:r>
      <w:r w:rsidR="000A5286" w:rsidRPr="006D646A">
        <w:t>discuss</w:t>
      </w:r>
      <w:r w:rsidR="00B023BF" w:rsidRPr="006D646A">
        <w:t>i</w:t>
      </w:r>
      <w:r w:rsidR="002F21CC" w:rsidRPr="006D646A">
        <w:t>o</w:t>
      </w:r>
      <w:r w:rsidR="00B023BF" w:rsidRPr="006D646A">
        <w:t>n</w:t>
      </w:r>
      <w:r w:rsidR="002F21CC" w:rsidRPr="006D646A">
        <w:t>s</w:t>
      </w:r>
      <w:r w:rsidR="000A5286" w:rsidRPr="006D646A">
        <w:t xml:space="preserve"> </w:t>
      </w:r>
      <w:r w:rsidR="002F21CC" w:rsidRPr="006D646A">
        <w:t xml:space="preserve">where appropriate </w:t>
      </w:r>
      <w:r w:rsidR="000A5286" w:rsidRPr="006D646A">
        <w:t>with the</w:t>
      </w:r>
      <w:r w:rsidR="002F21CC" w:rsidRPr="006D646A">
        <w:t>ir</w:t>
      </w:r>
      <w:r w:rsidR="000A5286" w:rsidRPr="006D646A">
        <w:t xml:space="preserve"> Chair and Board </w:t>
      </w:r>
      <w:r w:rsidRPr="006D646A">
        <w:t xml:space="preserve">servicing </w:t>
      </w:r>
      <w:r w:rsidR="000A5286" w:rsidRPr="006D646A">
        <w:t>staff</w:t>
      </w:r>
      <w:r w:rsidR="00B023BF" w:rsidRPr="006D646A">
        <w:t>.</w:t>
      </w:r>
    </w:p>
    <w:p w14:paraId="677CEEBA" w14:textId="77777777" w:rsidR="006D646A" w:rsidRPr="009A05AF" w:rsidRDefault="006D646A" w:rsidP="009A05AF">
      <w:pPr>
        <w:spacing w:after="140" w:line="240" w:lineRule="exact"/>
        <w:rPr>
          <w:spacing w:val="-1"/>
          <w:sz w:val="21"/>
          <w:szCs w:val="19"/>
          <w:lang w:val="en-NZ"/>
        </w:rPr>
      </w:pPr>
    </w:p>
    <w:p w14:paraId="721534E2" w14:textId="1E2AF8F2" w:rsidR="000A5286" w:rsidRPr="00E25668" w:rsidRDefault="000A5286" w:rsidP="00E25668">
      <w:pPr>
        <w:pStyle w:val="Heading2"/>
        <w:rPr>
          <w:rFonts w:eastAsia="Times New Roman"/>
          <w:color w:val="548235"/>
        </w:rPr>
      </w:pPr>
      <w:r w:rsidRPr="00E25668">
        <w:rPr>
          <w:rFonts w:eastAsia="Times New Roman"/>
          <w:color w:val="548235"/>
        </w:rPr>
        <w:lastRenderedPageBreak/>
        <w:t xml:space="preserve">Expectations </w:t>
      </w:r>
    </w:p>
    <w:p w14:paraId="6801DDE3" w14:textId="2AE39FEA" w:rsidR="00934398" w:rsidRPr="009A05AF" w:rsidRDefault="00DE234C" w:rsidP="00E25668">
      <w:pPr>
        <w:pStyle w:val="Body"/>
      </w:pPr>
      <w:r w:rsidRPr="009A05AF">
        <w:t>The neighbouring Board</w:t>
      </w:r>
      <w:r w:rsidR="00DC51FE">
        <w:t>’s</w:t>
      </w:r>
      <w:r w:rsidRPr="009A05AF">
        <w:t xml:space="preserve"> BSO will supply the liaison with</w:t>
      </w:r>
      <w:r w:rsidR="00067723" w:rsidRPr="009A05AF">
        <w:t xml:space="preserve"> n</w:t>
      </w:r>
      <w:r w:rsidR="00934398" w:rsidRPr="009A05AF">
        <w:t>otices of meetings, agendas, minutes</w:t>
      </w:r>
      <w:r w:rsidR="00067723" w:rsidRPr="009A05AF">
        <w:t xml:space="preserve">, </w:t>
      </w:r>
      <w:r w:rsidR="00934398" w:rsidRPr="009A05AF">
        <w:t>annual report</w:t>
      </w:r>
      <w:r w:rsidR="00DC51FE">
        <w:t>s</w:t>
      </w:r>
      <w:r w:rsidR="00067723" w:rsidRPr="009A05AF">
        <w:t>,</w:t>
      </w:r>
      <w:r w:rsidR="00934398" w:rsidRPr="009A05AF">
        <w:t xml:space="preserve"> and any other relevant items</w:t>
      </w:r>
      <w:r w:rsidR="00067723" w:rsidRPr="009A05AF">
        <w:t>, as soon as practicable.</w:t>
      </w:r>
    </w:p>
    <w:p w14:paraId="72880543" w14:textId="70E820F6" w:rsidR="000A5286" w:rsidRPr="009A05AF" w:rsidRDefault="00934398" w:rsidP="00E25668">
      <w:pPr>
        <w:pStyle w:val="Body"/>
      </w:pPr>
      <w:r w:rsidRPr="009A05AF">
        <w:t>The liaison will a</w:t>
      </w:r>
      <w:r w:rsidR="000A5286" w:rsidRPr="009A05AF">
        <w:t>ttend</w:t>
      </w:r>
      <w:r w:rsidR="004D06D6" w:rsidRPr="009A05AF">
        <w:t xml:space="preserve"> </w:t>
      </w:r>
      <w:r w:rsidR="00741A5B" w:rsidRPr="009A05AF">
        <w:t>[</w:t>
      </w:r>
      <w:r w:rsidR="009223F4" w:rsidRPr="00E25668">
        <w:rPr>
          <w:highlight w:val="yellow"/>
        </w:rPr>
        <w:t>number</w:t>
      </w:r>
      <w:r w:rsidR="009223F4" w:rsidRPr="009A05AF">
        <w:t>]</w:t>
      </w:r>
      <w:r w:rsidR="000A5286" w:rsidRPr="009A05AF">
        <w:t xml:space="preserve"> meeting</w:t>
      </w:r>
      <w:r w:rsidR="009223F4" w:rsidRPr="009A05AF">
        <w:t>s</w:t>
      </w:r>
      <w:r w:rsidR="00067723" w:rsidRPr="009A05AF">
        <w:t xml:space="preserve"> (inc</w:t>
      </w:r>
      <w:r w:rsidR="007F42A7" w:rsidRPr="009A05AF">
        <w:t>luding</w:t>
      </w:r>
      <w:r w:rsidR="00067723" w:rsidRPr="009A05AF">
        <w:t xml:space="preserve"> </w:t>
      </w:r>
      <w:r w:rsidR="000A5286" w:rsidRPr="009A05AF">
        <w:t>field trip</w:t>
      </w:r>
      <w:r w:rsidR="009223F4" w:rsidRPr="009A05AF">
        <w:t>s</w:t>
      </w:r>
      <w:r w:rsidR="00067723" w:rsidRPr="009A05AF">
        <w:t>)</w:t>
      </w:r>
      <w:r w:rsidR="000A5286" w:rsidRPr="009A05AF">
        <w:t xml:space="preserve"> of the neighbouring </w:t>
      </w:r>
      <w:r w:rsidR="00DC51FE">
        <w:t>B</w:t>
      </w:r>
      <w:r w:rsidR="000A5286" w:rsidRPr="009A05AF">
        <w:t xml:space="preserve">oard per year, with the prior approval of the </w:t>
      </w:r>
      <w:r w:rsidR="00DC36ED" w:rsidRPr="009A05AF">
        <w:t xml:space="preserve">Board </w:t>
      </w:r>
      <w:r w:rsidR="000A5286" w:rsidRPr="009A05AF">
        <w:t>Chair and DOC Statutory Manager (</w:t>
      </w:r>
      <w:r w:rsidR="00DC36ED" w:rsidRPr="009A05AF">
        <w:t xml:space="preserve">as </w:t>
      </w:r>
      <w:r w:rsidR="000A5286" w:rsidRPr="009A05AF">
        <w:t xml:space="preserve">budget holder). </w:t>
      </w:r>
    </w:p>
    <w:p w14:paraId="4024EBC5" w14:textId="62820DCA" w:rsidR="00934398" w:rsidRPr="009A05AF" w:rsidRDefault="00934398" w:rsidP="00E25668">
      <w:pPr>
        <w:pStyle w:val="Body"/>
      </w:pPr>
      <w:r w:rsidRPr="009A05AF">
        <w:t xml:space="preserve">If attending a meeting or field trip in person, </w:t>
      </w:r>
      <w:r w:rsidR="00B5078D" w:rsidRPr="009A05AF">
        <w:t xml:space="preserve">the </w:t>
      </w:r>
      <w:r w:rsidRPr="009A05AF">
        <w:t xml:space="preserve">BSO </w:t>
      </w:r>
      <w:r w:rsidR="00067723" w:rsidRPr="009A05AF">
        <w:t xml:space="preserve">of the host Board </w:t>
      </w:r>
      <w:r w:rsidR="00B5078D" w:rsidRPr="009A05AF">
        <w:t>will</w:t>
      </w:r>
      <w:r w:rsidRPr="009A05AF">
        <w:t xml:space="preserve"> arrange accommodation</w:t>
      </w:r>
      <w:r w:rsidR="00067723" w:rsidRPr="009A05AF">
        <w:t>, travel, and</w:t>
      </w:r>
      <w:r w:rsidRPr="009A05AF">
        <w:t xml:space="preserve"> </w:t>
      </w:r>
      <w:r w:rsidR="006A736A" w:rsidRPr="009A05AF">
        <w:t xml:space="preserve">meal/s </w:t>
      </w:r>
      <w:r w:rsidR="00067723" w:rsidRPr="009A05AF">
        <w:t>as required</w:t>
      </w:r>
      <w:r w:rsidR="00B5078D" w:rsidRPr="009A05AF">
        <w:t xml:space="preserve">. The liaison will </w:t>
      </w:r>
      <w:r w:rsidR="00067723" w:rsidRPr="009A05AF">
        <w:t>confirm attendance with the host</w:t>
      </w:r>
      <w:r w:rsidR="00B5078D" w:rsidRPr="009A05AF">
        <w:t xml:space="preserve"> BSO</w:t>
      </w:r>
      <w:r w:rsidR="00067723" w:rsidRPr="009A05AF">
        <w:t xml:space="preserve"> as soon as practicable</w:t>
      </w:r>
      <w:r w:rsidR="00B5078D" w:rsidRPr="009A05AF">
        <w:t xml:space="preserve"> to </w:t>
      </w:r>
      <w:r w:rsidR="00DC51FE">
        <w:t xml:space="preserve">enable them to </w:t>
      </w:r>
      <w:r w:rsidR="002B2C38" w:rsidRPr="009A05AF">
        <w:t>make the necessary arrangements</w:t>
      </w:r>
      <w:r w:rsidR="00067723" w:rsidRPr="009A05AF">
        <w:t xml:space="preserve"> and minimise costs</w:t>
      </w:r>
      <w:r w:rsidR="002B2C38" w:rsidRPr="009A05AF">
        <w:t>.</w:t>
      </w:r>
      <w:r w:rsidR="00DC51FE">
        <w:t xml:space="preserve"> </w:t>
      </w:r>
      <w:r w:rsidRPr="009A05AF">
        <w:t xml:space="preserve"> </w:t>
      </w:r>
      <w:r w:rsidR="00067723" w:rsidRPr="009A05AF">
        <w:t xml:space="preserve">All costs are covered by the liaison’s </w:t>
      </w:r>
      <w:r w:rsidR="00DC51FE">
        <w:t xml:space="preserve">own </w:t>
      </w:r>
      <w:r w:rsidR="00067723" w:rsidRPr="009A05AF">
        <w:t>Board.</w:t>
      </w:r>
    </w:p>
    <w:p w14:paraId="650A354B" w14:textId="3257DD78" w:rsidR="007D2799" w:rsidRPr="009A05AF" w:rsidRDefault="007D2799" w:rsidP="00E25668">
      <w:pPr>
        <w:pStyle w:val="Body"/>
      </w:pPr>
      <w:r w:rsidRPr="009A05AF">
        <w:t>T</w:t>
      </w:r>
      <w:r w:rsidR="006D1563" w:rsidRPr="009A05AF">
        <w:t>he liaison will</w:t>
      </w:r>
      <w:r w:rsidR="00BE73F3" w:rsidRPr="009A05AF">
        <w:t xml:space="preserve"> ensure that the Board remains fully informed</w:t>
      </w:r>
      <w:r w:rsidR="00DC51FE">
        <w:t>,</w:t>
      </w:r>
      <w:r w:rsidR="00BE73F3" w:rsidRPr="009A05AF">
        <w:t xml:space="preserve"> including through formal</w:t>
      </w:r>
      <w:r w:rsidR="00E75BCE" w:rsidRPr="009A05AF">
        <w:t xml:space="preserve"> report</w:t>
      </w:r>
      <w:r w:rsidR="00BE73F3" w:rsidRPr="009A05AF">
        <w:t>ing at the next Board meeting.</w:t>
      </w:r>
      <w:r w:rsidR="00E75BCE" w:rsidRPr="009A05AF">
        <w:t xml:space="preserve"> </w:t>
      </w:r>
    </w:p>
    <w:p w14:paraId="29D819BE" w14:textId="2118DCF2" w:rsidR="00BE73F3" w:rsidRPr="00E25668" w:rsidRDefault="00BE73F3" w:rsidP="007D2799">
      <w:pPr>
        <w:rPr>
          <w:rFonts w:asciiTheme="majorHAnsi" w:eastAsia="Times New Roman" w:hAnsiTheme="majorHAnsi" w:cstheme="majorBidi"/>
          <w:color w:val="548235"/>
          <w:sz w:val="26"/>
          <w:szCs w:val="26"/>
        </w:rPr>
      </w:pPr>
      <w:r w:rsidRPr="00E25668">
        <w:rPr>
          <w:rFonts w:asciiTheme="majorHAnsi" w:eastAsia="Times New Roman" w:hAnsiTheme="majorHAnsi" w:cstheme="majorBidi"/>
          <w:color w:val="548235"/>
          <w:sz w:val="26"/>
          <w:szCs w:val="26"/>
        </w:rPr>
        <w:t>Liaison with other conservation organisations</w:t>
      </w:r>
    </w:p>
    <w:p w14:paraId="611D1D9F" w14:textId="4D3C0350" w:rsidR="00E75BCE" w:rsidRPr="00E25668" w:rsidRDefault="00BE73F3" w:rsidP="00E25668">
      <w:pPr>
        <w:pStyle w:val="Body"/>
      </w:pPr>
      <w:r w:rsidRPr="00E25668">
        <w:t xml:space="preserve">A person can </w:t>
      </w:r>
      <w:r w:rsidR="00A95DA7">
        <w:t xml:space="preserve">also </w:t>
      </w:r>
      <w:r w:rsidRPr="00E25668">
        <w:t xml:space="preserve">be appointed as a liaison to establish </w:t>
      </w:r>
      <w:r w:rsidR="00A95DA7">
        <w:t xml:space="preserve">and maintain </w:t>
      </w:r>
      <w:r w:rsidRPr="00E25668">
        <w:t xml:space="preserve">relationships and provide communication between the Board and </w:t>
      </w:r>
      <w:r w:rsidR="00A95DA7">
        <w:t xml:space="preserve">other </w:t>
      </w:r>
      <w:r w:rsidRPr="00E25668">
        <w:t>conservation organisations, such as Fish &amp; Game.</w:t>
      </w:r>
      <w:r w:rsidR="006A736A" w:rsidRPr="00E25668">
        <w:t xml:space="preserve"> The principle</w:t>
      </w:r>
      <w:r w:rsidR="00C428E4" w:rsidRPr="00E25668">
        <w:t>s</w:t>
      </w:r>
      <w:r w:rsidR="006A736A" w:rsidRPr="00E25668">
        <w:t xml:space="preserve"> and expectations of these liaison roles are the same as those outlined above. </w:t>
      </w:r>
      <w:r w:rsidRPr="00E25668">
        <w:t xml:space="preserve"> </w:t>
      </w:r>
    </w:p>
    <w:p w14:paraId="35063FF8" w14:textId="6D5ABB2A" w:rsidR="00E75BCE" w:rsidRPr="00E25668" w:rsidRDefault="00E25668" w:rsidP="00E75BCE">
      <w:pPr>
        <w:rPr>
          <w:rFonts w:asciiTheme="majorHAnsi" w:eastAsia="Times New Roman" w:hAnsiTheme="majorHAnsi" w:cstheme="majorBidi"/>
          <w:color w:val="548235"/>
          <w:sz w:val="26"/>
          <w:szCs w:val="26"/>
        </w:rPr>
      </w:pPr>
      <w:r>
        <w:rPr>
          <w:rFonts w:asciiTheme="majorHAnsi" w:eastAsia="Times New Roman" w:hAnsiTheme="majorHAnsi" w:cstheme="majorBidi"/>
          <w:color w:val="548235"/>
          <w:sz w:val="26"/>
          <w:szCs w:val="26"/>
        </w:rPr>
        <w:t>Claiming f</w:t>
      </w:r>
      <w:r w:rsidR="00E75BCE" w:rsidRPr="00E25668">
        <w:rPr>
          <w:rFonts w:asciiTheme="majorHAnsi" w:eastAsia="Times New Roman" w:hAnsiTheme="majorHAnsi" w:cstheme="majorBidi"/>
          <w:color w:val="548235"/>
          <w:sz w:val="26"/>
          <w:szCs w:val="26"/>
        </w:rPr>
        <w:t>ees and expenses</w:t>
      </w:r>
    </w:p>
    <w:p w14:paraId="469F198E" w14:textId="6EA92991" w:rsidR="009D19FE" w:rsidRPr="00E25668" w:rsidRDefault="00A95DA7" w:rsidP="00E25668">
      <w:pPr>
        <w:pStyle w:val="Body"/>
      </w:pPr>
      <w:r>
        <w:t>The liaison can claim fees</w:t>
      </w:r>
      <w:r w:rsidR="00E75BCE" w:rsidRPr="00E25668">
        <w:t xml:space="preserve"> for attending </w:t>
      </w:r>
      <w:r w:rsidR="006A736A" w:rsidRPr="00E25668">
        <w:t>[</w:t>
      </w:r>
      <w:r w:rsidR="006A736A" w:rsidRPr="00E25668">
        <w:rPr>
          <w:highlight w:val="yellow"/>
        </w:rPr>
        <w:t>number]</w:t>
      </w:r>
      <w:r w:rsidR="00E75BCE" w:rsidRPr="00E25668">
        <w:t xml:space="preserve"> meeting</w:t>
      </w:r>
      <w:r w:rsidR="006A736A" w:rsidRPr="00E25668">
        <w:t xml:space="preserve">s </w:t>
      </w:r>
      <w:r w:rsidR="00E75BCE" w:rsidRPr="00E25668">
        <w:t>per year</w:t>
      </w:r>
      <w:r w:rsidR="00492686" w:rsidRPr="00E25668">
        <w:t>,</w:t>
      </w:r>
      <w:r w:rsidR="00E75BCE" w:rsidRPr="00E25668">
        <w:t xml:space="preserve"> with prior approval</w:t>
      </w:r>
      <w:r w:rsidR="00492686" w:rsidRPr="00E25668">
        <w:t xml:space="preserve"> from the Board Chair and </w:t>
      </w:r>
      <w:r w:rsidR="00DC37F2" w:rsidRPr="00E25668">
        <w:t xml:space="preserve">DOC </w:t>
      </w:r>
      <w:r w:rsidR="00492686" w:rsidRPr="00E25668">
        <w:t>Statutory Manager</w:t>
      </w:r>
      <w:r w:rsidR="00DC37F2" w:rsidRPr="00E25668">
        <w:t xml:space="preserve"> (as budget holder)</w:t>
      </w:r>
      <w:r w:rsidR="00E75BCE" w:rsidRPr="00E25668">
        <w:t xml:space="preserve">. </w:t>
      </w:r>
      <w:r w:rsidR="006A736A" w:rsidRPr="00E25668">
        <w:t>Additional c</w:t>
      </w:r>
      <w:r w:rsidR="00E75BCE" w:rsidRPr="00E25668">
        <w:t xml:space="preserve">osts that </w:t>
      </w:r>
      <w:r w:rsidR="006D508C" w:rsidRPr="00E25668">
        <w:t>will</w:t>
      </w:r>
      <w:r w:rsidR="00E75BCE" w:rsidRPr="00E25668">
        <w:t xml:space="preserve"> be met are</w:t>
      </w:r>
      <w:r w:rsidR="006A736A" w:rsidRPr="00E25668">
        <w:t>:</w:t>
      </w:r>
      <w:r w:rsidR="00E75BCE" w:rsidRPr="00E25668">
        <w:t xml:space="preserve"> </w:t>
      </w:r>
    </w:p>
    <w:p w14:paraId="5777017F" w14:textId="7C0E63D0" w:rsidR="009D19FE" w:rsidRPr="009A05AF" w:rsidRDefault="009D19FE" w:rsidP="00A95DA7">
      <w:pPr>
        <w:pStyle w:val="Body"/>
        <w:numPr>
          <w:ilvl w:val="0"/>
          <w:numId w:val="17"/>
        </w:numPr>
      </w:pPr>
      <w:r w:rsidRPr="009A05AF">
        <w:t>T</w:t>
      </w:r>
      <w:r w:rsidR="00E75BCE" w:rsidRPr="009A05AF">
        <w:t>ravel</w:t>
      </w:r>
    </w:p>
    <w:p w14:paraId="78478377" w14:textId="02757228" w:rsidR="009D19FE" w:rsidRPr="009A05AF" w:rsidRDefault="009D19FE" w:rsidP="00A95DA7">
      <w:pPr>
        <w:pStyle w:val="Body"/>
        <w:numPr>
          <w:ilvl w:val="0"/>
          <w:numId w:val="17"/>
        </w:numPr>
      </w:pPr>
      <w:r w:rsidRPr="009A05AF">
        <w:t>A</w:t>
      </w:r>
      <w:r w:rsidR="00E75BCE" w:rsidRPr="009A05AF">
        <w:t>ccommodation</w:t>
      </w:r>
      <w:r w:rsidR="00A95DA7">
        <w:t>; and</w:t>
      </w:r>
    </w:p>
    <w:p w14:paraId="6BF90248" w14:textId="07CDF525" w:rsidR="009D19FE" w:rsidRPr="009A05AF" w:rsidRDefault="009D19FE" w:rsidP="00A95DA7">
      <w:pPr>
        <w:pStyle w:val="Body"/>
        <w:numPr>
          <w:ilvl w:val="0"/>
          <w:numId w:val="17"/>
        </w:numPr>
      </w:pPr>
      <w:r w:rsidRPr="009A05AF">
        <w:t>M</w:t>
      </w:r>
      <w:r w:rsidR="00E75BCE" w:rsidRPr="009A05AF">
        <w:t>eal</w:t>
      </w:r>
      <w:r w:rsidRPr="009A05AF">
        <w:t>/s</w:t>
      </w:r>
      <w:r w:rsidR="00A95DA7">
        <w:t>.</w:t>
      </w:r>
      <w:r w:rsidR="00E75BCE" w:rsidRPr="009A05AF">
        <w:t xml:space="preserve"> </w:t>
      </w:r>
    </w:p>
    <w:p w14:paraId="583FAF2E" w14:textId="77777777" w:rsidR="000079CD" w:rsidRPr="00563CC4" w:rsidRDefault="000079CD" w:rsidP="000079C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 w:line="240" w:lineRule="auto"/>
        <w:rPr>
          <w:b/>
          <w:bCs/>
          <w:spacing w:val="-1"/>
          <w:sz w:val="21"/>
          <w:szCs w:val="19"/>
          <w:lang w:val="en-NZ"/>
        </w:rPr>
      </w:pPr>
      <w:r w:rsidRPr="00563CC4">
        <w:rPr>
          <w:b/>
          <w:bCs/>
          <w:spacing w:val="-1"/>
          <w:sz w:val="21"/>
          <w:szCs w:val="19"/>
          <w:lang w:val="en-NZ"/>
        </w:rPr>
        <w:t>Policy reviewed (Month/Year)</w:t>
      </w:r>
    </w:p>
    <w:p w14:paraId="1E30530D" w14:textId="77777777" w:rsidR="000079CD" w:rsidRPr="00563CC4" w:rsidRDefault="000079CD" w:rsidP="000079C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 w:line="240" w:lineRule="auto"/>
        <w:rPr>
          <w:b/>
          <w:bCs/>
          <w:spacing w:val="-1"/>
          <w:sz w:val="21"/>
          <w:szCs w:val="19"/>
          <w:lang w:val="en-NZ"/>
        </w:rPr>
      </w:pPr>
      <w:r w:rsidRPr="00563CC4">
        <w:rPr>
          <w:b/>
          <w:bCs/>
          <w:spacing w:val="-1"/>
          <w:sz w:val="21"/>
          <w:szCs w:val="19"/>
          <w:lang w:val="en-NZ"/>
        </w:rPr>
        <w:t>Reviewed by (Name)</w:t>
      </w:r>
    </w:p>
    <w:p w14:paraId="3EEEDD4F" w14:textId="77777777" w:rsidR="000079CD" w:rsidRPr="00563CC4" w:rsidRDefault="000079CD" w:rsidP="000079C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 w:line="240" w:lineRule="auto"/>
        <w:rPr>
          <w:b/>
          <w:bCs/>
          <w:spacing w:val="-1"/>
          <w:sz w:val="21"/>
          <w:szCs w:val="19"/>
          <w:lang w:val="en-NZ"/>
        </w:rPr>
      </w:pPr>
      <w:r w:rsidRPr="00563CC4">
        <w:rPr>
          <w:b/>
          <w:bCs/>
          <w:spacing w:val="-1"/>
          <w:sz w:val="21"/>
          <w:szCs w:val="19"/>
          <w:lang w:val="en-NZ"/>
        </w:rPr>
        <w:t>Policy Approved (Date)</w:t>
      </w:r>
    </w:p>
    <w:p w14:paraId="6CACF364" w14:textId="77777777" w:rsidR="000079CD" w:rsidRPr="00563CC4" w:rsidRDefault="000079CD" w:rsidP="000079C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 w:line="240" w:lineRule="auto"/>
        <w:rPr>
          <w:b/>
          <w:bCs/>
          <w:spacing w:val="-1"/>
          <w:sz w:val="21"/>
          <w:szCs w:val="19"/>
          <w:lang w:val="en-NZ"/>
        </w:rPr>
      </w:pPr>
      <w:r w:rsidRPr="00563CC4">
        <w:rPr>
          <w:b/>
          <w:bCs/>
          <w:spacing w:val="-1"/>
          <w:sz w:val="21"/>
          <w:szCs w:val="19"/>
          <w:lang w:val="en-NZ"/>
        </w:rPr>
        <w:t>Approved by Board Chair (Sign)</w:t>
      </w:r>
    </w:p>
    <w:p w14:paraId="6788526A" w14:textId="7B1FA25D" w:rsidR="0055690F" w:rsidRPr="00563CC4" w:rsidRDefault="000079CD" w:rsidP="00AD75CF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0" w:color="auto"/>
          <w:between w:val="single" w:sz="4" w:space="1" w:color="auto"/>
        </w:pBdr>
        <w:spacing w:before="100" w:beforeAutospacing="1" w:after="100" w:afterAutospacing="1" w:line="240" w:lineRule="auto"/>
        <w:rPr>
          <w:b/>
          <w:bCs/>
          <w:spacing w:val="-1"/>
          <w:sz w:val="21"/>
          <w:szCs w:val="19"/>
          <w:lang w:val="en-NZ"/>
        </w:rPr>
      </w:pPr>
      <w:r w:rsidRPr="00563CC4">
        <w:rPr>
          <w:b/>
          <w:bCs/>
          <w:spacing w:val="-1"/>
          <w:sz w:val="21"/>
          <w:szCs w:val="19"/>
          <w:lang w:val="en-NZ"/>
        </w:rPr>
        <w:t>Next review (Month/Year</w:t>
      </w:r>
      <w:r w:rsidR="00985F44">
        <w:rPr>
          <w:b/>
          <w:bCs/>
          <w:spacing w:val="-1"/>
          <w:sz w:val="21"/>
          <w:szCs w:val="19"/>
          <w:lang w:val="en-NZ"/>
        </w:rPr>
        <w:t>)</w:t>
      </w:r>
    </w:p>
    <w:sectPr w:rsidR="0055690F" w:rsidRPr="00563C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er Semibold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cher Book">
    <w:altName w:val="Calibri"/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Medium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761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CA0966"/>
    <w:multiLevelType w:val="hybridMultilevel"/>
    <w:tmpl w:val="5DA27F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623C0"/>
    <w:multiLevelType w:val="hybridMultilevel"/>
    <w:tmpl w:val="493CE02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69648F"/>
    <w:multiLevelType w:val="hybridMultilevel"/>
    <w:tmpl w:val="FC7A64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4882"/>
    <w:multiLevelType w:val="hybridMultilevel"/>
    <w:tmpl w:val="B64CF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3150D"/>
    <w:multiLevelType w:val="hybridMultilevel"/>
    <w:tmpl w:val="989E53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34754"/>
    <w:multiLevelType w:val="hybridMultilevel"/>
    <w:tmpl w:val="353A78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B55CF"/>
    <w:multiLevelType w:val="hybridMultilevel"/>
    <w:tmpl w:val="524243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82AC5"/>
    <w:multiLevelType w:val="hybridMultilevel"/>
    <w:tmpl w:val="12BE5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38ED"/>
    <w:multiLevelType w:val="hybridMultilevel"/>
    <w:tmpl w:val="1C0C4488"/>
    <w:lvl w:ilvl="0" w:tplc="1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AF6D62"/>
    <w:multiLevelType w:val="hybridMultilevel"/>
    <w:tmpl w:val="1C6E0CB0"/>
    <w:lvl w:ilvl="0" w:tplc="4170C8C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C056D"/>
    <w:multiLevelType w:val="hybridMultilevel"/>
    <w:tmpl w:val="B0C64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75D8D"/>
    <w:multiLevelType w:val="hybridMultilevel"/>
    <w:tmpl w:val="74A2D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1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0F"/>
    <w:rsid w:val="000079CD"/>
    <w:rsid w:val="00061096"/>
    <w:rsid w:val="00064AA0"/>
    <w:rsid w:val="00067723"/>
    <w:rsid w:val="000A5286"/>
    <w:rsid w:val="001326B5"/>
    <w:rsid w:val="00153896"/>
    <w:rsid w:val="0016196E"/>
    <w:rsid w:val="001C6522"/>
    <w:rsid w:val="001F22D7"/>
    <w:rsid w:val="002B2C38"/>
    <w:rsid w:val="002E3DE3"/>
    <w:rsid w:val="002E7C85"/>
    <w:rsid w:val="002F21CC"/>
    <w:rsid w:val="0035610C"/>
    <w:rsid w:val="0036454B"/>
    <w:rsid w:val="003A09AF"/>
    <w:rsid w:val="003C7C8F"/>
    <w:rsid w:val="003C7E2D"/>
    <w:rsid w:val="003D1B44"/>
    <w:rsid w:val="003F5514"/>
    <w:rsid w:val="00404B74"/>
    <w:rsid w:val="0049167A"/>
    <w:rsid w:val="00492686"/>
    <w:rsid w:val="004C3BC4"/>
    <w:rsid w:val="004D06D6"/>
    <w:rsid w:val="004D4287"/>
    <w:rsid w:val="004D511D"/>
    <w:rsid w:val="004F3278"/>
    <w:rsid w:val="00511EEA"/>
    <w:rsid w:val="0055690F"/>
    <w:rsid w:val="00563CC4"/>
    <w:rsid w:val="00574A22"/>
    <w:rsid w:val="00586AF2"/>
    <w:rsid w:val="005A0ADC"/>
    <w:rsid w:val="005A311F"/>
    <w:rsid w:val="005D64C4"/>
    <w:rsid w:val="006347CB"/>
    <w:rsid w:val="006A736A"/>
    <w:rsid w:val="006B7989"/>
    <w:rsid w:val="006C1807"/>
    <w:rsid w:val="006C2B7F"/>
    <w:rsid w:val="006D1563"/>
    <w:rsid w:val="006D41AB"/>
    <w:rsid w:val="006D508C"/>
    <w:rsid w:val="006D646A"/>
    <w:rsid w:val="00723911"/>
    <w:rsid w:val="00741A5B"/>
    <w:rsid w:val="007719A9"/>
    <w:rsid w:val="0078239F"/>
    <w:rsid w:val="007B210B"/>
    <w:rsid w:val="007B30C8"/>
    <w:rsid w:val="007D2799"/>
    <w:rsid w:val="007F42A7"/>
    <w:rsid w:val="00821672"/>
    <w:rsid w:val="00821CE4"/>
    <w:rsid w:val="008634B0"/>
    <w:rsid w:val="00886430"/>
    <w:rsid w:val="00891479"/>
    <w:rsid w:val="008F7966"/>
    <w:rsid w:val="009223F4"/>
    <w:rsid w:val="00934398"/>
    <w:rsid w:val="00934594"/>
    <w:rsid w:val="0096201A"/>
    <w:rsid w:val="00985F44"/>
    <w:rsid w:val="009A05AF"/>
    <w:rsid w:val="009D12AB"/>
    <w:rsid w:val="009D19FE"/>
    <w:rsid w:val="009E061B"/>
    <w:rsid w:val="009F12D7"/>
    <w:rsid w:val="00A30E4A"/>
    <w:rsid w:val="00A34100"/>
    <w:rsid w:val="00A84600"/>
    <w:rsid w:val="00A95DA7"/>
    <w:rsid w:val="00AA4724"/>
    <w:rsid w:val="00AC1911"/>
    <w:rsid w:val="00AD5764"/>
    <w:rsid w:val="00AD75CF"/>
    <w:rsid w:val="00AE52CE"/>
    <w:rsid w:val="00B023BF"/>
    <w:rsid w:val="00B172A8"/>
    <w:rsid w:val="00B5078D"/>
    <w:rsid w:val="00BB777E"/>
    <w:rsid w:val="00BC1B6A"/>
    <w:rsid w:val="00BE73F3"/>
    <w:rsid w:val="00C13CAD"/>
    <w:rsid w:val="00C428E4"/>
    <w:rsid w:val="00C65A1B"/>
    <w:rsid w:val="00C74B09"/>
    <w:rsid w:val="00C82675"/>
    <w:rsid w:val="00CE1AAF"/>
    <w:rsid w:val="00CF6C7D"/>
    <w:rsid w:val="00D7536B"/>
    <w:rsid w:val="00DA5DCF"/>
    <w:rsid w:val="00DC36ED"/>
    <w:rsid w:val="00DC37F2"/>
    <w:rsid w:val="00DC51FE"/>
    <w:rsid w:val="00DC6D8D"/>
    <w:rsid w:val="00DE234C"/>
    <w:rsid w:val="00DE7D87"/>
    <w:rsid w:val="00E25668"/>
    <w:rsid w:val="00E364F3"/>
    <w:rsid w:val="00E54B08"/>
    <w:rsid w:val="00E75BCE"/>
    <w:rsid w:val="00EA6D57"/>
    <w:rsid w:val="00F60718"/>
    <w:rsid w:val="00F901E3"/>
    <w:rsid w:val="00FD0709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ECC64"/>
  <w15:chartTrackingRefBased/>
  <w15:docId w15:val="{A194323E-BAD0-4CD1-BC0B-8F2FA344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55690F"/>
    <w:pPr>
      <w:autoSpaceDE w:val="0"/>
      <w:autoSpaceDN w:val="0"/>
      <w:adjustRightInd w:val="0"/>
      <w:spacing w:before="170" w:after="113" w:line="288" w:lineRule="auto"/>
      <w:textAlignment w:val="center"/>
      <w:outlineLvl w:val="0"/>
    </w:pPr>
    <w:rPr>
      <w:rFonts w:ascii="Archer Semibold" w:eastAsia="Times New Roman" w:hAnsi="Archer Semibold" w:cs="Arial"/>
      <w:color w:val="AB232C"/>
      <w:sz w:val="35"/>
      <w:szCs w:val="35"/>
      <w:lang w:val="en-NZ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9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90F"/>
    <w:rPr>
      <w:rFonts w:ascii="Archer Semibold" w:eastAsia="Times New Roman" w:hAnsi="Archer Semibold" w:cs="Arial"/>
      <w:color w:val="AB232C"/>
      <w:sz w:val="35"/>
      <w:szCs w:val="35"/>
      <w:lang w:val="en-NZ" w:eastAsia="en-GB"/>
    </w:rPr>
  </w:style>
  <w:style w:type="paragraph" w:customStyle="1" w:styleId="BodyText1">
    <w:name w:val="Body Text1"/>
    <w:basedOn w:val="Heading4"/>
    <w:rsid w:val="0055690F"/>
    <w:pPr>
      <w:keepNext w:val="0"/>
      <w:keepLines w:val="0"/>
      <w:suppressAutoHyphens/>
      <w:autoSpaceDE w:val="0"/>
      <w:autoSpaceDN w:val="0"/>
      <w:adjustRightInd w:val="0"/>
      <w:spacing w:before="120" w:after="85" w:line="240" w:lineRule="auto"/>
      <w:contextualSpacing/>
      <w:textAlignment w:val="center"/>
      <w:outlineLvl w:val="9"/>
    </w:pPr>
    <w:rPr>
      <w:rFonts w:ascii="Archer Book" w:eastAsia="Times New Roman" w:hAnsi="Archer Book" w:cs="Arial"/>
      <w:i w:val="0"/>
      <w:color w:val="000000"/>
      <w:spacing w:val="-4"/>
      <w:lang w:val="en-NZ" w:eastAsia="en-GB"/>
    </w:rPr>
  </w:style>
  <w:style w:type="paragraph" w:customStyle="1" w:styleId="Bullets">
    <w:name w:val="Bullets"/>
    <w:basedOn w:val="Normal"/>
    <w:rsid w:val="0055690F"/>
    <w:pPr>
      <w:numPr>
        <w:numId w:val="1"/>
      </w:numPr>
      <w:spacing w:after="120" w:line="288" w:lineRule="auto"/>
      <w:ind w:left="714" w:hanging="357"/>
      <w:contextualSpacing/>
    </w:pPr>
    <w:rPr>
      <w:rFonts w:ascii="Archer Book" w:eastAsia="Times New Roman" w:hAnsi="Archer Book" w:cs="Arial"/>
      <w:iCs/>
      <w:color w:val="000000"/>
      <w:spacing w:val="-4"/>
      <w:lang w:val="en-NZ" w:eastAsia="en-GB"/>
    </w:rPr>
  </w:style>
  <w:style w:type="paragraph" w:customStyle="1" w:styleId="Title1">
    <w:name w:val="Title 1"/>
    <w:basedOn w:val="Normal"/>
    <w:rsid w:val="0055690F"/>
    <w:pPr>
      <w:tabs>
        <w:tab w:val="left" w:pos="10620"/>
      </w:tabs>
      <w:spacing w:after="0" w:line="240" w:lineRule="auto"/>
      <w:ind w:left="1440" w:right="-101"/>
    </w:pPr>
    <w:rPr>
      <w:rFonts w:ascii="Archer Medium" w:eastAsia="Times New Roman" w:hAnsi="Archer Medium" w:cs="Arial"/>
      <w:color w:val="FFFFFF"/>
      <w:sz w:val="56"/>
      <w:szCs w:val="72"/>
      <w:lang w:val="en-NZ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90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0A5286"/>
    <w:pPr>
      <w:spacing w:after="200" w:line="276" w:lineRule="auto"/>
      <w:ind w:left="720"/>
      <w:contextualSpacing/>
    </w:pPr>
    <w:rPr>
      <w:rFonts w:ascii="Arial Nova" w:eastAsia="Calibri" w:hAnsi="Arial Nova" w:cs="Times New Roman"/>
      <w:sz w:val="24"/>
      <w:lang w:val="en-NZ"/>
    </w:rPr>
  </w:style>
  <w:style w:type="character" w:styleId="Hyperlink">
    <w:name w:val="Hyperlink"/>
    <w:basedOn w:val="DefaultParagraphFont"/>
    <w:uiPriority w:val="99"/>
    <w:unhideWhenUsed/>
    <w:rsid w:val="00E75BC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1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9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9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96E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rsid w:val="00FE288C"/>
    <w:pPr>
      <w:numPr>
        <w:numId w:val="2"/>
      </w:numPr>
      <w:spacing w:after="80" w:line="240" w:lineRule="exact"/>
    </w:pPr>
    <w:rPr>
      <w:spacing w:val="-1"/>
      <w:sz w:val="21"/>
      <w:szCs w:val="19"/>
      <w:lang w:val="en-NZ"/>
    </w:rPr>
  </w:style>
  <w:style w:type="paragraph" w:styleId="NoSpacing">
    <w:name w:val="No Spacing"/>
    <w:uiPriority w:val="1"/>
    <w:qFormat/>
    <w:rsid w:val="00DA5DC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C1B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6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Body">
    <w:name w:val="Body"/>
    <w:basedOn w:val="Normal"/>
    <w:rsid w:val="00E25668"/>
    <w:pPr>
      <w:spacing w:after="120" w:line="240" w:lineRule="auto"/>
    </w:pPr>
    <w:rPr>
      <w:rFonts w:ascii="Archer Book" w:hAnsi="Archer Book" w:cs="Calibri"/>
      <w:sz w:val="24"/>
      <w:szCs w:val="24"/>
      <w:lang w:val="en-N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DB4FB0D05F448A10913BB54F89D6C" ma:contentTypeVersion="12" ma:contentTypeDescription="Create a new document." ma:contentTypeScope="" ma:versionID="853518e1c4aa3647cb9a684370a1de80">
  <xsd:schema xmlns:xsd="http://www.w3.org/2001/XMLSchema" xmlns:xs="http://www.w3.org/2001/XMLSchema" xmlns:p="http://schemas.microsoft.com/office/2006/metadata/properties" xmlns:ns3="5758bf5a-fc92-4a4a-9c52-7721bc4c3705" xmlns:ns4="4605b7ab-aa8a-45af-9b48-f256f003af4b" targetNamespace="http://schemas.microsoft.com/office/2006/metadata/properties" ma:root="true" ma:fieldsID="c7301e432678061b9fd518a67eb7c8f5" ns3:_="" ns4:_="">
    <xsd:import namespace="5758bf5a-fc92-4a4a-9c52-7721bc4c3705"/>
    <xsd:import namespace="4605b7ab-aa8a-45af-9b48-f256f003af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8bf5a-fc92-4a4a-9c52-7721bc4c3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5b7ab-aa8a-45af-9b48-f256f003a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49CDD2-9CAF-4E73-B9AE-065DF5D06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1CA85-C1AA-4D05-B9E8-6F70F146E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8bf5a-fc92-4a4a-9c52-7721bc4c3705"/>
    <ds:schemaRef ds:uri="4605b7ab-aa8a-45af-9b48-f256f003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6AE96-B474-4C34-AEE5-B095DDFCF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Thomas</dc:creator>
  <cp:keywords/>
  <dc:description/>
  <cp:lastModifiedBy>Katrina Thomas</cp:lastModifiedBy>
  <cp:revision>2</cp:revision>
  <dcterms:created xsi:type="dcterms:W3CDTF">2021-08-23T00:42:00Z</dcterms:created>
  <dcterms:modified xsi:type="dcterms:W3CDTF">2021-08-23T00:42:00Z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0x010100FE2DB4FB0D05F448A10913BB54F89D6C</vt:lpwstr>
  </property>
  <property fmtid="{D5CDD505-2E9C-101B-9397-08002B2CF9AE}" pid="3" name="DISdDocName">
    <vt:lpwstr>DOC-6756902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https://doccm.doc.govt.nz/cs/idcplg</vt:lpwstr>
  </property>
  <property fmtid="{D5CDD505-2E9C-101B-9397-08002B2CF9AE}" pid="6" name="DISdUser">
    <vt:lpwstr>kthomas</vt:lpwstr>
  </property>
  <property fmtid="{D5CDD505-2E9C-101B-9397-08002B2CF9AE}" pid="7" name="DISdID">
    <vt:lpwstr>8680690</vt:lpwstr>
  </property>
  <property fmtid="{D5CDD505-2E9C-101B-9397-08002B2CF9AE}" pid="8" name="DISidcName">
    <vt:lpwstr>docprd12con116200</vt:lpwstr>
  </property>
  <property fmtid="{D5CDD505-2E9C-101B-9397-08002B2CF9AE}" pid="9" name="DISTaskPaneUrl">
    <vt:lpwstr>https://doccm.doc.govt.nz/cs/idcplg?IdcService=DESKTOP_DOC_INFO&amp;dDocName=DOC-6756902&amp;dID=8680690&amp;ClientControlled=DocMan,taskpane&amp;coreContentOnly=1</vt:lpwstr>
  </property>
</Properties>
</file>