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D02F1" w14:textId="77777777" w:rsidR="0088424D" w:rsidRDefault="00ED7057" w:rsidP="00FF09DF">
      <w:pPr>
        <w:keepNext/>
        <w:spacing w:before="240" w:after="120"/>
        <w:rPr>
          <w:rFonts w:ascii="Archer Semibold" w:hAnsi="Archer Semibold"/>
          <w:b/>
          <w:bCs/>
        </w:rPr>
      </w:pPr>
      <w:bookmarkStart w:id="0" w:name="_GoBack"/>
      <w:bookmarkEnd w:id="0"/>
      <w:r>
        <w:rPr>
          <w:rFonts w:ascii="Archer Semibold" w:hAnsi="Archer Semibold"/>
          <w:b/>
          <w:bCs/>
          <w:noProof/>
          <w:lang w:eastAsia="en-NZ"/>
        </w:rPr>
        <w:drawing>
          <wp:anchor distT="0" distB="0" distL="114300" distR="114300" simplePos="0" relativeHeight="251659264" behindDoc="0" locked="0" layoutInCell="1" allowOverlap="1" wp14:anchorId="1A79085F" wp14:editId="3042E660">
            <wp:simplePos x="0" y="0"/>
            <wp:positionH relativeFrom="rightMargin">
              <wp:align>left</wp:align>
            </wp:positionH>
            <wp:positionV relativeFrom="paragraph">
              <wp:posOffset>-914400</wp:posOffset>
            </wp:positionV>
            <wp:extent cx="904951" cy="1026589"/>
            <wp:effectExtent l="0" t="0" r="0" b="2540"/>
            <wp:wrapNone/>
            <wp:docPr id="2" name="Picture 2" descr="DOC_split-logo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_split-logo_shie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951" cy="1026589"/>
                    </a:xfrm>
                    <a:prstGeom prst="rect">
                      <a:avLst/>
                    </a:prstGeom>
                    <a:noFill/>
                    <a:ln>
                      <a:noFill/>
                    </a:ln>
                  </pic:spPr>
                </pic:pic>
              </a:graphicData>
            </a:graphic>
            <wp14:sizeRelH relativeFrom="page">
              <wp14:pctWidth>0</wp14:pctWidth>
            </wp14:sizeRelH>
            <wp14:sizeRelV relativeFrom="page">
              <wp14:pctHeight>0</wp14:pctHeight>
            </wp14:sizeRelV>
          </wp:anchor>
        </w:drawing>
      </w:r>
      <w:r w:rsidR="00D67202">
        <w:rPr>
          <w:rFonts w:ascii="Archer Semibold" w:hAnsi="Archer Semibold"/>
          <w:b/>
          <w:bCs/>
          <w:noProof/>
          <w:lang w:eastAsia="en-NZ"/>
        </w:rPr>
        <w:drawing>
          <wp:anchor distT="0" distB="0" distL="114300" distR="114300" simplePos="0" relativeHeight="251658240" behindDoc="1" locked="0" layoutInCell="1" allowOverlap="1" wp14:anchorId="1F5345D2" wp14:editId="58AA5B2F">
            <wp:simplePos x="0" y="0"/>
            <wp:positionH relativeFrom="column">
              <wp:posOffset>-2590800</wp:posOffset>
            </wp:positionH>
            <wp:positionV relativeFrom="paragraph">
              <wp:posOffset>-2865120</wp:posOffset>
            </wp:positionV>
            <wp:extent cx="14973300" cy="3337560"/>
            <wp:effectExtent l="0" t="0" r="0" b="0"/>
            <wp:wrapNone/>
            <wp:docPr id="1" name="Picture 1" descr="Watercolour Master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colour Master_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3300" cy="333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6BCC7" w14:textId="77777777" w:rsidR="00D21A74" w:rsidRPr="001E6F7E" w:rsidRDefault="00ED7057" w:rsidP="001E6F7E">
      <w:pPr>
        <w:pStyle w:val="Title"/>
        <w:jc w:val="center"/>
      </w:pPr>
      <w:r w:rsidRPr="001E6F7E">
        <w:t>Concessionaire Safety Audit Requirements</w:t>
      </w:r>
    </w:p>
    <w:p w14:paraId="5FA50757" w14:textId="77777777" w:rsidR="00ED7057" w:rsidRDefault="00ED7057" w:rsidP="00ED7057"/>
    <w:p w14:paraId="71368757" w14:textId="181F555F" w:rsidR="00743230" w:rsidRDefault="00743230" w:rsidP="00ED7057">
      <w:r>
        <w:t xml:space="preserve">The Department of Conservation (DOC) requires concessionaires undertaking </w:t>
      </w:r>
      <w:r w:rsidR="007E3901">
        <w:t>activities</w:t>
      </w:r>
      <w:r>
        <w:t xml:space="preserve"> with clients on public conservation land to have an audited safety plan.  </w:t>
      </w:r>
      <w:r w:rsidR="00ED7057">
        <w:t>The DOC website includes an up-to-date list of organisations that are recognised to provide these audits.</w:t>
      </w:r>
      <w:r w:rsidR="00ED7057" w:rsidRPr="00ED7057">
        <w:t xml:space="preserve"> </w:t>
      </w:r>
    </w:p>
    <w:p w14:paraId="591787C5" w14:textId="7E5D96A2" w:rsidR="00ED7057" w:rsidRDefault="00ED7057" w:rsidP="00ED7057">
      <w:r>
        <w:t>This document describes the context and criteria for these safety audits</w:t>
      </w:r>
      <w:r w:rsidR="00743230">
        <w:t>, and an application form for organisations wishing to provide them</w:t>
      </w:r>
      <w:r>
        <w:t>.</w:t>
      </w:r>
    </w:p>
    <w:p w14:paraId="76C0715F" w14:textId="77777777" w:rsidR="00743427" w:rsidRDefault="00ED7057" w:rsidP="008A6439">
      <w:r>
        <w:t>If you are an organisation that wishes to provide safety audit services for concessionaires, then please:</w:t>
      </w:r>
    </w:p>
    <w:p w14:paraId="4FCA3D6D" w14:textId="77777777" w:rsidR="00743427" w:rsidRDefault="00ED7057" w:rsidP="00743427">
      <w:pPr>
        <w:pStyle w:val="ListParagraph"/>
        <w:numPr>
          <w:ilvl w:val="0"/>
          <w:numId w:val="8"/>
        </w:numPr>
      </w:pPr>
      <w:r>
        <w:t>R</w:t>
      </w:r>
      <w:r w:rsidR="008A6439">
        <w:t xml:space="preserve">ead this entire document, </w:t>
      </w:r>
    </w:p>
    <w:p w14:paraId="1CA35870" w14:textId="77777777" w:rsidR="00743427" w:rsidRDefault="00ED7057" w:rsidP="00743427">
      <w:pPr>
        <w:pStyle w:val="ListParagraph"/>
        <w:numPr>
          <w:ilvl w:val="0"/>
          <w:numId w:val="8"/>
        </w:numPr>
      </w:pPr>
      <w:r>
        <w:t xml:space="preserve">Complete the form on page 4 to confirm you have read </w:t>
      </w:r>
      <w:r w:rsidR="008A6439">
        <w:t xml:space="preserve">and </w:t>
      </w:r>
      <w:r w:rsidR="00743427">
        <w:t xml:space="preserve">understood the criteria, and </w:t>
      </w:r>
      <w:r>
        <w:t xml:space="preserve">declare that </w:t>
      </w:r>
      <w:r w:rsidR="008A6439">
        <w:t>you meet all the criteria</w:t>
      </w:r>
      <w:r>
        <w:t>.</w:t>
      </w:r>
    </w:p>
    <w:p w14:paraId="4184925C" w14:textId="77777777" w:rsidR="00ED7057" w:rsidRDefault="00ED7057" w:rsidP="00743427">
      <w:pPr>
        <w:pStyle w:val="ListParagraph"/>
        <w:numPr>
          <w:ilvl w:val="0"/>
          <w:numId w:val="8"/>
        </w:numPr>
      </w:pPr>
      <w:r>
        <w:t>Attach relevant supporting evidence.</w:t>
      </w:r>
    </w:p>
    <w:p w14:paraId="15EFACD0" w14:textId="59D60878" w:rsidR="008A6439" w:rsidRDefault="00BB5C6A" w:rsidP="00743427">
      <w:pPr>
        <w:pStyle w:val="ListParagraph"/>
        <w:numPr>
          <w:ilvl w:val="0"/>
          <w:numId w:val="8"/>
        </w:numPr>
      </w:pPr>
      <w:r>
        <w:t>Send the application to Adrian Gilby, National Permissions Advisor at DOC (</w:t>
      </w:r>
      <w:hyperlink r:id="rId9" w:history="1">
        <w:r w:rsidRPr="008C5D95">
          <w:rPr>
            <w:rStyle w:val="Hyperlink"/>
          </w:rPr>
          <w:t>agilby@doc.govt.nz</w:t>
        </w:r>
      </w:hyperlink>
      <w:r>
        <w:t>).</w:t>
      </w:r>
    </w:p>
    <w:p w14:paraId="26C575CA" w14:textId="77777777" w:rsidR="00ED7057" w:rsidRDefault="00ED7057" w:rsidP="00743427">
      <w:pPr>
        <w:pStyle w:val="ListParagraph"/>
        <w:numPr>
          <w:ilvl w:val="0"/>
          <w:numId w:val="8"/>
        </w:numPr>
      </w:pPr>
      <w:r>
        <w:t>Allow four to six weeks for processing.</w:t>
      </w:r>
    </w:p>
    <w:p w14:paraId="67256B57" w14:textId="5AF65B03" w:rsidR="00196A63" w:rsidRDefault="00ED7057">
      <w:pPr>
        <w:rPr>
          <w:rStyle w:val="Strong"/>
          <w:rFonts w:eastAsiaTheme="majorEastAsia" w:cstheme="majorBidi"/>
          <w:color w:val="2E74B5" w:themeColor="accent1" w:themeShade="BF"/>
          <w:sz w:val="26"/>
          <w:szCs w:val="26"/>
        </w:rPr>
      </w:pPr>
      <w:r>
        <w:t>DOC will advise applicants in writing</w:t>
      </w:r>
      <w:r w:rsidR="00D00493">
        <w:t xml:space="preserve"> of the outcome</w:t>
      </w:r>
      <w:r>
        <w:t xml:space="preserve">. </w:t>
      </w:r>
    </w:p>
    <w:p w14:paraId="28E22B85" w14:textId="77777777" w:rsidR="00726B60" w:rsidRDefault="00726B60">
      <w:pPr>
        <w:rPr>
          <w:rStyle w:val="Strong"/>
          <w:rFonts w:eastAsiaTheme="majorEastAsia" w:cstheme="majorBidi"/>
          <w:color w:val="2E74B5" w:themeColor="accent1" w:themeShade="BF"/>
          <w:sz w:val="26"/>
          <w:szCs w:val="26"/>
        </w:rPr>
      </w:pPr>
    </w:p>
    <w:p w14:paraId="56211013" w14:textId="0F9012DE" w:rsidR="00ED7057" w:rsidRPr="001E6F7E" w:rsidRDefault="00196A63" w:rsidP="001E6F7E">
      <w:pPr>
        <w:pStyle w:val="Heading1"/>
      </w:pPr>
      <w:r w:rsidRPr="001E6F7E">
        <w:t>Safety audit requirements context</w:t>
      </w:r>
    </w:p>
    <w:p w14:paraId="5CD43963" w14:textId="787AE7C9" w:rsidR="00196A63" w:rsidRPr="00B202DB" w:rsidRDefault="00196A63" w:rsidP="00196A63">
      <w:pPr>
        <w:spacing w:before="120" w:after="120"/>
      </w:pPr>
      <w:r w:rsidRPr="00B202DB">
        <w:t>New Zealand’s adventure activity sector is world-renowned and is an important contributor to our economy and our national identity.</w:t>
      </w:r>
      <w:r>
        <w:t xml:space="preserve">  </w:t>
      </w:r>
      <w:r w:rsidRPr="00B202DB">
        <w:t>It is imperative that New Zealanders</w:t>
      </w:r>
      <w:r>
        <w:t xml:space="preserve"> and </w:t>
      </w:r>
      <w:r w:rsidRPr="00B202DB">
        <w:t xml:space="preserve">visitors </w:t>
      </w:r>
      <w:r>
        <w:t xml:space="preserve">alike </w:t>
      </w:r>
      <w:r w:rsidRPr="00B202DB">
        <w:t xml:space="preserve">can be assured that </w:t>
      </w:r>
      <w:r>
        <w:t>tourism</w:t>
      </w:r>
      <w:r w:rsidRPr="00B202DB">
        <w:t xml:space="preserve"> operators have sound safety practices.</w:t>
      </w:r>
    </w:p>
    <w:p w14:paraId="412584E7" w14:textId="77777777" w:rsidR="00196A63" w:rsidRPr="001E6F7E" w:rsidRDefault="00196A63" w:rsidP="001E6F7E">
      <w:pPr>
        <w:pStyle w:val="Heading2"/>
      </w:pPr>
      <w:r w:rsidRPr="001E6F7E">
        <w:t xml:space="preserve">Department of Conservation’s role </w:t>
      </w:r>
    </w:p>
    <w:p w14:paraId="5768610B" w14:textId="77777777" w:rsidR="00196A63" w:rsidRDefault="00196A63" w:rsidP="00196A63">
      <w:pPr>
        <w:spacing w:before="120" w:after="120"/>
      </w:pPr>
      <w:r>
        <w:t xml:space="preserve">As a land manager </w:t>
      </w:r>
      <w:r w:rsidRPr="002C101E">
        <w:t xml:space="preserve">DOC </w:t>
      </w:r>
      <w:r>
        <w:t xml:space="preserve">has </w:t>
      </w:r>
      <w:r w:rsidRPr="002C101E">
        <w:t xml:space="preserve">a </w:t>
      </w:r>
      <w:r>
        <w:t xml:space="preserve">general </w:t>
      </w:r>
      <w:r w:rsidRPr="002C101E">
        <w:t xml:space="preserve">duty of care for those who use public conservation land </w:t>
      </w:r>
      <w:r>
        <w:t>(pcl).  This includes duties under the Health and Safety at Work Act 2015 as a “</w:t>
      </w:r>
      <w:r w:rsidRPr="002C101E">
        <w:t>person conducting a business or undertaking</w:t>
      </w:r>
      <w:r>
        <w:t>”</w:t>
      </w:r>
      <w:r w:rsidRPr="002C101E">
        <w:t xml:space="preserve"> (</w:t>
      </w:r>
      <w:hyperlink r:id="rId10" w:tgtFrame="_blank" w:history="1">
        <w:r w:rsidRPr="002C101E">
          <w:rPr>
            <w:rStyle w:val="Hyperlink"/>
            <w:color w:val="auto"/>
          </w:rPr>
          <w:t>PCBU</w:t>
        </w:r>
      </w:hyperlink>
      <w:r w:rsidRPr="002C101E">
        <w:t xml:space="preserve">). </w:t>
      </w:r>
      <w:r>
        <w:t xml:space="preserve"> </w:t>
      </w:r>
    </w:p>
    <w:p w14:paraId="5A5FB5A4" w14:textId="77777777" w:rsidR="00196A63" w:rsidRDefault="00196A63" w:rsidP="00196A63">
      <w:pPr>
        <w:spacing w:before="120" w:after="120"/>
      </w:pPr>
      <w:r>
        <w:t xml:space="preserve">DOC has always maintained that it is not a safety expert and must rely on the expertise of safety experts to oversee how concessionaires manage safety in their operations.      </w:t>
      </w:r>
    </w:p>
    <w:p w14:paraId="24C83BD5" w14:textId="77777777" w:rsidR="00196A63" w:rsidRDefault="00196A63" w:rsidP="00196A63">
      <w:pPr>
        <w:spacing w:before="120" w:after="120"/>
      </w:pPr>
      <w:r>
        <w:t xml:space="preserve">Therefore, DOC </w:t>
      </w:r>
      <w:r w:rsidRPr="002C101E">
        <w:t>require</w:t>
      </w:r>
      <w:r>
        <w:t>s</w:t>
      </w:r>
      <w:r w:rsidRPr="002C101E">
        <w:t xml:space="preserve"> all </w:t>
      </w:r>
      <w:r>
        <w:t xml:space="preserve">approved concessionaires undertaking recreational/tourism type activities to have a current safety plan, that has been audited to an independent, industry standard by a credible auditor.  </w:t>
      </w:r>
    </w:p>
    <w:p w14:paraId="4D729553" w14:textId="77777777" w:rsidR="00ED7057" w:rsidRPr="001E6F7E" w:rsidRDefault="00ED7057" w:rsidP="001E6F7E">
      <w:pPr>
        <w:pStyle w:val="Heading2"/>
        <w:rPr>
          <w:rStyle w:val="Strong"/>
          <w:rFonts w:asciiTheme="majorHAnsi" w:hAnsiTheme="majorHAnsi"/>
          <w:b w:val="0"/>
          <w:bCs w:val="0"/>
        </w:rPr>
      </w:pPr>
      <w:r w:rsidRPr="001E6F7E">
        <w:rPr>
          <w:rStyle w:val="Strong"/>
          <w:rFonts w:asciiTheme="majorHAnsi" w:hAnsiTheme="majorHAnsi"/>
          <w:b w:val="0"/>
          <w:bCs w:val="0"/>
        </w:rPr>
        <w:t>Adventure Activities Regulations</w:t>
      </w:r>
    </w:p>
    <w:p w14:paraId="33307654" w14:textId="391629C9" w:rsidR="00196A63" w:rsidRDefault="00ED7057" w:rsidP="00ED7057">
      <w:pPr>
        <w:spacing w:before="120" w:after="120"/>
      </w:pPr>
      <w:r w:rsidRPr="00B202DB">
        <w:t>The Health and Safety in Employment (Adventure Activities) Regulations (201</w:t>
      </w:r>
      <w:r w:rsidR="00196A63">
        <w:t>6</w:t>
      </w:r>
      <w:r w:rsidRPr="00B202DB">
        <w:t xml:space="preserve">) </w:t>
      </w:r>
      <w:r>
        <w:t xml:space="preserve">identified types of activities </w:t>
      </w:r>
      <w:r w:rsidR="00196A63">
        <w:t xml:space="preserve">– </w:t>
      </w:r>
      <w:hyperlink r:id="rId11" w:tgtFrame="_blank" w:history="1">
        <w:r w:rsidR="00196A63">
          <w:rPr>
            <w:rStyle w:val="Hyperlink"/>
            <w:color w:val="auto"/>
          </w:rPr>
          <w:t>a</w:t>
        </w:r>
        <w:r w:rsidR="00196A63" w:rsidRPr="002C101E">
          <w:rPr>
            <w:rStyle w:val="Hyperlink"/>
            <w:color w:val="auto"/>
          </w:rPr>
          <w:t>dventure activities</w:t>
        </w:r>
      </w:hyperlink>
      <w:r w:rsidR="00196A63">
        <w:t xml:space="preserve"> – that are subject to a specific safety-related regime.</w:t>
      </w:r>
      <w:r>
        <w:t xml:space="preserve"> </w:t>
      </w:r>
      <w:r w:rsidR="00196A63">
        <w:t xml:space="preserve"> This </w:t>
      </w:r>
      <w:r w:rsidR="00196A63">
        <w:lastRenderedPageBreak/>
        <w:t xml:space="preserve">includes undergoing a safety audit by an auditor who is accredited by a specialist body using ISO auditing standards and a specific Certification Scheme. </w:t>
      </w:r>
    </w:p>
    <w:p w14:paraId="3441115A" w14:textId="61D8E4BC" w:rsidR="00ED7057" w:rsidRDefault="00196A63" w:rsidP="00196A63">
      <w:pPr>
        <w:spacing w:before="120" w:after="120"/>
        <w:rPr>
          <w:rStyle w:val="Strong"/>
        </w:rPr>
      </w:pPr>
      <w:r>
        <w:t xml:space="preserve">These regulations apply to a number of activities undertaken by concessionaires on pcl, therefore DOC automatically recognises the safety audits carried out under the regulations.  However as there some activities </w:t>
      </w:r>
      <w:r w:rsidR="00743230">
        <w:t>that</w:t>
      </w:r>
      <w:r>
        <w:t xml:space="preserve"> do not meet the “adventure activity” criteria, DOC needs another acceptable safety audit pathway for these operators</w:t>
      </w:r>
      <w:r w:rsidR="001C66D8">
        <w:t xml:space="preserve"> (non-AA operators)</w:t>
      </w:r>
      <w:r>
        <w:t xml:space="preserve">.  </w:t>
      </w:r>
    </w:p>
    <w:p w14:paraId="3F437E4A" w14:textId="1029DE77" w:rsidR="00ED7057" w:rsidRPr="001E6F7E" w:rsidRDefault="00196A63" w:rsidP="001E6F7E">
      <w:pPr>
        <w:pStyle w:val="Heading2"/>
        <w:rPr>
          <w:rStyle w:val="Strong"/>
          <w:rFonts w:asciiTheme="majorHAnsi" w:hAnsiTheme="majorHAnsi"/>
          <w:b w:val="0"/>
          <w:bCs w:val="0"/>
        </w:rPr>
      </w:pPr>
      <w:r w:rsidRPr="001E6F7E">
        <w:rPr>
          <w:rStyle w:val="Strong"/>
          <w:rFonts w:asciiTheme="majorHAnsi" w:hAnsiTheme="majorHAnsi"/>
          <w:b w:val="0"/>
          <w:bCs w:val="0"/>
        </w:rPr>
        <w:t>Consultation and Policy</w:t>
      </w:r>
    </w:p>
    <w:p w14:paraId="1B50B97F" w14:textId="12D28D01" w:rsidR="00ED7057" w:rsidRPr="002C101E" w:rsidRDefault="00196A63" w:rsidP="00ED7057">
      <w:pPr>
        <w:spacing w:before="120" w:after="120"/>
      </w:pPr>
      <w:r>
        <w:t xml:space="preserve">Consultation with stakeholders including </w:t>
      </w:r>
      <w:r w:rsidR="001C66D8">
        <w:t>industry representatives established a consensus that safety audits of non-AA operators</w:t>
      </w:r>
      <w:r w:rsidR="00ED7057">
        <w:t xml:space="preserve"> should be</w:t>
      </w:r>
      <w:r w:rsidR="00ED7057" w:rsidRPr="002C101E">
        <w:t>:</w:t>
      </w:r>
    </w:p>
    <w:p w14:paraId="2EA11915" w14:textId="74AC86A0" w:rsidR="001C66D8" w:rsidRPr="001C66D8" w:rsidRDefault="00ED7057" w:rsidP="001C66D8">
      <w:pPr>
        <w:numPr>
          <w:ilvl w:val="0"/>
          <w:numId w:val="6"/>
        </w:numPr>
        <w:spacing w:after="0" w:line="240" w:lineRule="auto"/>
        <w:rPr>
          <w:rFonts w:eastAsia="Times New Roman"/>
        </w:rPr>
      </w:pPr>
      <w:r w:rsidRPr="002C101E">
        <w:rPr>
          <w:rFonts w:eastAsia="Times New Roman"/>
        </w:rPr>
        <w:t>proportional to the risk presented by the activities</w:t>
      </w:r>
      <w:r>
        <w:rPr>
          <w:rFonts w:eastAsia="Times New Roman"/>
        </w:rPr>
        <w:t xml:space="preserve">, </w:t>
      </w:r>
    </w:p>
    <w:p w14:paraId="404EE715" w14:textId="782DE6C9" w:rsidR="00ED7057" w:rsidRDefault="00ED7057" w:rsidP="00ED7057">
      <w:pPr>
        <w:numPr>
          <w:ilvl w:val="0"/>
          <w:numId w:val="6"/>
        </w:numPr>
        <w:spacing w:after="0" w:line="240" w:lineRule="auto"/>
        <w:rPr>
          <w:rFonts w:eastAsia="Times New Roman"/>
        </w:rPr>
      </w:pPr>
      <w:r w:rsidRPr="002C101E">
        <w:rPr>
          <w:rFonts w:eastAsia="Times New Roman"/>
        </w:rPr>
        <w:t>s</w:t>
      </w:r>
      <w:r w:rsidR="001C66D8">
        <w:rPr>
          <w:rFonts w:eastAsia="Times New Roman"/>
        </w:rPr>
        <w:t xml:space="preserve">uitably accessible to operators, and </w:t>
      </w:r>
    </w:p>
    <w:p w14:paraId="13FB9D6A" w14:textId="3B15D0D6" w:rsidR="001C66D8" w:rsidRPr="002C101E" w:rsidRDefault="001C66D8" w:rsidP="00ED7057">
      <w:pPr>
        <w:numPr>
          <w:ilvl w:val="0"/>
          <w:numId w:val="6"/>
        </w:numPr>
        <w:spacing w:after="0" w:line="240" w:lineRule="auto"/>
        <w:rPr>
          <w:rFonts w:eastAsia="Times New Roman"/>
        </w:rPr>
      </w:pPr>
      <w:r>
        <w:rPr>
          <w:rFonts w:eastAsia="Times New Roman"/>
        </w:rPr>
        <w:t>carried out by reputable audit providers.</w:t>
      </w:r>
    </w:p>
    <w:p w14:paraId="02F1F01D" w14:textId="03D9D9F1" w:rsidR="001C66D8" w:rsidRDefault="00ED7057" w:rsidP="00ED7057">
      <w:pPr>
        <w:spacing w:before="120" w:after="120"/>
      </w:pPr>
      <w:r w:rsidRPr="002C101E">
        <w:t>The</w:t>
      </w:r>
      <w:r>
        <w:t>se</w:t>
      </w:r>
      <w:r w:rsidRPr="002C101E">
        <w:t xml:space="preserve"> criteria </w:t>
      </w:r>
      <w:r w:rsidR="001C66D8">
        <w:t>were</w:t>
      </w:r>
      <w:r w:rsidRPr="002C101E">
        <w:t xml:space="preserve"> designed to </w:t>
      </w:r>
      <w:r w:rsidR="001C66D8">
        <w:t xml:space="preserve">reflect that non-AA </w:t>
      </w:r>
      <w:r w:rsidRPr="002C101E">
        <w:t xml:space="preserve">activities </w:t>
      </w:r>
      <w:r w:rsidR="001C66D8">
        <w:t xml:space="preserve">frequently involve lower levels of risk but that DOC still requires a robust and credible assurance in order to meet its duties.  </w:t>
      </w:r>
    </w:p>
    <w:p w14:paraId="123D1E1D" w14:textId="45D9E919" w:rsidR="008A6439" w:rsidRDefault="00ED7057" w:rsidP="001E6F7E">
      <w:pPr>
        <w:spacing w:before="120" w:after="120"/>
      </w:pPr>
      <w:r>
        <w:t xml:space="preserve">Therefore, DOC will only accept audits from audit providing organisations who meet the set criteria.  </w:t>
      </w:r>
    </w:p>
    <w:p w14:paraId="2C2A9311" w14:textId="71E4FA2E" w:rsidR="008914CF" w:rsidRDefault="008914CF" w:rsidP="008914CF">
      <w:r w:rsidRPr="008914CF">
        <w:rPr>
          <w:rStyle w:val="Strong"/>
          <w:rFonts w:asciiTheme="majorHAnsi" w:eastAsiaTheme="majorEastAsia" w:hAnsiTheme="majorHAnsi" w:cstheme="majorBidi"/>
          <w:b w:val="0"/>
          <w:color w:val="2E74B5" w:themeColor="accent1" w:themeShade="BF"/>
          <w:sz w:val="26"/>
          <w:szCs w:val="26"/>
        </w:rPr>
        <w:t>JASANZ Accreditation recognised</w:t>
      </w:r>
      <w:r w:rsidRPr="008914CF">
        <w:br/>
        <w:t>DOC acknowledges that organisations accredited by JASANZ to the NZ Adventure Activities Certification Scheme have already demonstrated that they meet these criteria.</w:t>
      </w:r>
    </w:p>
    <w:p w14:paraId="785EA946" w14:textId="77777777" w:rsidR="008914CF" w:rsidRPr="008914CF" w:rsidRDefault="008914CF" w:rsidP="008914CF"/>
    <w:p w14:paraId="53D02F29" w14:textId="74AE11E1" w:rsidR="001E6F7E" w:rsidRDefault="001E6F7E">
      <w:r>
        <w:br w:type="page"/>
      </w:r>
    </w:p>
    <w:p w14:paraId="4DB8F276" w14:textId="1C997C84" w:rsidR="008A6439" w:rsidRDefault="008A6439" w:rsidP="001E6F7E">
      <w:pPr>
        <w:pStyle w:val="Heading1"/>
        <w:rPr>
          <w:rFonts w:eastAsia="Calibri"/>
          <w:lang w:eastAsia="en-NZ"/>
        </w:rPr>
      </w:pPr>
      <w:r w:rsidRPr="00F307A1">
        <w:rPr>
          <w:rFonts w:eastAsia="Calibri"/>
          <w:lang w:eastAsia="en-NZ"/>
        </w:rPr>
        <w:lastRenderedPageBreak/>
        <w:t xml:space="preserve">Criteria </w:t>
      </w:r>
      <w:r w:rsidR="001E6F7E">
        <w:rPr>
          <w:rFonts w:eastAsia="Calibri"/>
          <w:lang w:eastAsia="en-NZ"/>
        </w:rPr>
        <w:t>for</w:t>
      </w:r>
      <w:r>
        <w:rPr>
          <w:rFonts w:eastAsia="Calibri"/>
          <w:lang w:eastAsia="en-NZ"/>
        </w:rPr>
        <w:t xml:space="preserve"> A</w:t>
      </w:r>
      <w:r w:rsidRPr="00F307A1">
        <w:rPr>
          <w:rFonts w:eastAsia="Calibri"/>
          <w:lang w:eastAsia="en-NZ"/>
        </w:rPr>
        <w:t xml:space="preserve">udit </w:t>
      </w:r>
      <w:r>
        <w:rPr>
          <w:rFonts w:eastAsia="Calibri"/>
          <w:lang w:eastAsia="en-NZ"/>
        </w:rPr>
        <w:t>P</w:t>
      </w:r>
      <w:r w:rsidRPr="00F307A1">
        <w:rPr>
          <w:rFonts w:eastAsia="Calibri"/>
          <w:lang w:eastAsia="en-NZ"/>
        </w:rPr>
        <w:t xml:space="preserve">roviding </w:t>
      </w:r>
      <w:r>
        <w:rPr>
          <w:rFonts w:eastAsia="Calibri"/>
          <w:lang w:eastAsia="en-NZ"/>
        </w:rPr>
        <w:t>Organisation</w:t>
      </w:r>
      <w:r w:rsidR="00D00493">
        <w:rPr>
          <w:rFonts w:eastAsia="Calibri"/>
          <w:lang w:eastAsia="en-NZ"/>
        </w:rPr>
        <w:t>s</w:t>
      </w:r>
    </w:p>
    <w:p w14:paraId="1446C668" w14:textId="77777777" w:rsidR="00951875" w:rsidRDefault="00891B2E" w:rsidP="008914CF">
      <w:pPr>
        <w:spacing w:before="120" w:after="120" w:line="240" w:lineRule="auto"/>
        <w:rPr>
          <w:rFonts w:eastAsia="Calibri" w:cs="Times New Roman"/>
          <w:lang w:eastAsia="en-NZ"/>
        </w:rPr>
      </w:pPr>
      <w:r>
        <w:rPr>
          <w:rFonts w:eastAsia="Calibri" w:cs="Times New Roman"/>
          <w:lang w:eastAsia="en-NZ"/>
        </w:rPr>
        <w:t>In order to recognised by DOC as an “</w:t>
      </w:r>
      <w:r w:rsidR="008914CF">
        <w:rPr>
          <w:rFonts w:eastAsia="Calibri" w:cs="Times New Roman"/>
          <w:lang w:eastAsia="en-NZ"/>
        </w:rPr>
        <w:t>Audit Providing Organisation</w:t>
      </w:r>
      <w:r>
        <w:rPr>
          <w:rFonts w:eastAsia="Calibri" w:cs="Times New Roman"/>
          <w:lang w:eastAsia="en-NZ"/>
        </w:rPr>
        <w:t xml:space="preserve">”, </w:t>
      </w:r>
      <w:r w:rsidR="00951875">
        <w:rPr>
          <w:rFonts w:eastAsia="Calibri" w:cs="Times New Roman"/>
          <w:lang w:eastAsia="en-NZ"/>
        </w:rPr>
        <w:t>an applicant must:</w:t>
      </w:r>
    </w:p>
    <w:p w14:paraId="4C617DDE" w14:textId="4B3B68AE" w:rsidR="008914CF" w:rsidRPr="00951875" w:rsidRDefault="00951875" w:rsidP="00951875">
      <w:pPr>
        <w:pStyle w:val="ListParagraph"/>
        <w:numPr>
          <w:ilvl w:val="0"/>
          <w:numId w:val="13"/>
        </w:numPr>
        <w:spacing w:before="120" w:after="120" w:line="240" w:lineRule="auto"/>
        <w:rPr>
          <w:rFonts w:eastAsia="Calibri" w:cs="Times New Roman"/>
          <w:lang w:eastAsia="en-NZ"/>
        </w:rPr>
      </w:pPr>
      <w:r>
        <w:rPr>
          <w:rFonts w:eastAsia="Calibri" w:cs="Times New Roman"/>
          <w:lang w:eastAsia="en-NZ"/>
        </w:rPr>
        <w:t>E</w:t>
      </w:r>
      <w:r w:rsidR="008914CF" w:rsidRPr="00951875">
        <w:rPr>
          <w:rFonts w:eastAsia="Calibri" w:cs="Times New Roman"/>
          <w:lang w:eastAsia="en-NZ"/>
        </w:rPr>
        <w:t>stablish, document, implement and maintain processes that will</w:t>
      </w:r>
      <w:r w:rsidR="00891B2E" w:rsidRPr="00951875">
        <w:rPr>
          <w:rFonts w:eastAsia="Calibri" w:cs="Times New Roman"/>
          <w:lang w:eastAsia="en-NZ"/>
        </w:rPr>
        <w:t xml:space="preserve"> enable the organisation to provide safety audits for concessionaires undertaking activities on public conservation land that do not meet the criteria for Adventure Activity Regs activities.</w:t>
      </w:r>
    </w:p>
    <w:p w14:paraId="60928494" w14:textId="6DC3383D" w:rsidR="00951875" w:rsidRPr="00F307A1" w:rsidRDefault="00951875" w:rsidP="00951875">
      <w:pPr>
        <w:numPr>
          <w:ilvl w:val="0"/>
          <w:numId w:val="13"/>
        </w:numPr>
        <w:spacing w:before="120" w:after="0" w:line="240" w:lineRule="auto"/>
        <w:rPr>
          <w:rFonts w:eastAsia="Calibri" w:cs="Times New Roman"/>
          <w:lang w:eastAsia="en-NZ"/>
        </w:rPr>
      </w:pPr>
      <w:r>
        <w:rPr>
          <w:rFonts w:eastAsia="Calibri" w:cs="Times New Roman"/>
          <w:lang w:eastAsia="en-NZ"/>
        </w:rPr>
        <w:t>Have the capacity to</w:t>
      </w:r>
      <w:r w:rsidRPr="00F307A1">
        <w:rPr>
          <w:rFonts w:eastAsia="Calibri" w:cs="Times New Roman"/>
          <w:lang w:eastAsia="en-NZ"/>
        </w:rPr>
        <w:t>:</w:t>
      </w:r>
    </w:p>
    <w:p w14:paraId="6FF51D2B" w14:textId="77777777" w:rsidR="00951875" w:rsidRPr="00F307A1" w:rsidRDefault="00951875" w:rsidP="00951875">
      <w:pPr>
        <w:numPr>
          <w:ilvl w:val="0"/>
          <w:numId w:val="11"/>
        </w:numPr>
        <w:spacing w:before="120" w:after="0" w:line="240" w:lineRule="auto"/>
        <w:contextualSpacing/>
        <w:rPr>
          <w:rFonts w:eastAsia="Calibri" w:cs="Times New Roman"/>
          <w:lang w:eastAsia="en-NZ"/>
        </w:rPr>
      </w:pPr>
      <w:r w:rsidRPr="00F307A1">
        <w:rPr>
          <w:rFonts w:eastAsia="Calibri" w:cs="Times New Roman"/>
          <w:lang w:eastAsia="en-NZ"/>
        </w:rPr>
        <w:t>provide at least 3 yearly audits;</w:t>
      </w:r>
    </w:p>
    <w:p w14:paraId="296D010B" w14:textId="77777777" w:rsidR="00951875" w:rsidRPr="00F307A1" w:rsidRDefault="00951875" w:rsidP="00951875">
      <w:pPr>
        <w:numPr>
          <w:ilvl w:val="0"/>
          <w:numId w:val="11"/>
        </w:numPr>
        <w:spacing w:before="120" w:after="0" w:line="240" w:lineRule="auto"/>
        <w:contextualSpacing/>
        <w:rPr>
          <w:rFonts w:eastAsia="Calibri" w:cs="Times New Roman"/>
          <w:lang w:eastAsia="en-NZ"/>
        </w:rPr>
      </w:pPr>
      <w:r w:rsidRPr="00F307A1">
        <w:rPr>
          <w:rFonts w:eastAsia="Calibri" w:cs="Times New Roman"/>
          <w:lang w:eastAsia="en-NZ"/>
        </w:rPr>
        <w:t>undertake site visits;</w:t>
      </w:r>
    </w:p>
    <w:p w14:paraId="55CDD7BD" w14:textId="77777777" w:rsidR="00951875" w:rsidRPr="00F307A1" w:rsidRDefault="00951875" w:rsidP="00951875">
      <w:pPr>
        <w:numPr>
          <w:ilvl w:val="0"/>
          <w:numId w:val="11"/>
        </w:numPr>
        <w:spacing w:before="120" w:after="0" w:line="240" w:lineRule="auto"/>
        <w:contextualSpacing/>
        <w:rPr>
          <w:rFonts w:eastAsia="Calibri" w:cs="Times New Roman"/>
          <w:lang w:eastAsia="en-NZ"/>
        </w:rPr>
      </w:pPr>
      <w:r w:rsidRPr="00F307A1">
        <w:rPr>
          <w:rFonts w:eastAsia="Calibri" w:cs="Times New Roman"/>
          <w:lang w:eastAsia="en-NZ"/>
        </w:rPr>
        <w:t>receive annual declarations; and</w:t>
      </w:r>
    </w:p>
    <w:p w14:paraId="54DA5835" w14:textId="77777777" w:rsidR="00951875" w:rsidRPr="009A0A9F" w:rsidRDefault="00951875" w:rsidP="00951875">
      <w:pPr>
        <w:numPr>
          <w:ilvl w:val="0"/>
          <w:numId w:val="11"/>
        </w:numPr>
        <w:spacing w:before="120" w:after="0" w:line="240" w:lineRule="auto"/>
        <w:contextualSpacing/>
        <w:rPr>
          <w:rFonts w:eastAsia="Calibri" w:cs="Times New Roman"/>
          <w:lang w:eastAsia="en-NZ"/>
        </w:rPr>
      </w:pPr>
      <w:r w:rsidRPr="00F307A1">
        <w:rPr>
          <w:rFonts w:eastAsia="Calibri" w:cs="Times New Roman"/>
          <w:lang w:eastAsia="en-NZ"/>
        </w:rPr>
        <w:t>take action in a timely manner if an SMS review is triggered e.g. due to a DOC request or the annual declaration identifying relevant change in risk.</w:t>
      </w:r>
    </w:p>
    <w:p w14:paraId="5776CE55" w14:textId="492912BF" w:rsidR="00951875" w:rsidRPr="009A0A9F" w:rsidRDefault="00951875" w:rsidP="00951875">
      <w:pPr>
        <w:numPr>
          <w:ilvl w:val="0"/>
          <w:numId w:val="13"/>
        </w:numPr>
        <w:spacing w:before="120" w:after="0" w:line="240" w:lineRule="auto"/>
        <w:rPr>
          <w:rFonts w:eastAsia="Calibri" w:cs="Times New Roman"/>
          <w:lang w:eastAsia="en-NZ"/>
        </w:rPr>
      </w:pPr>
      <w:r w:rsidRPr="00F307A1">
        <w:rPr>
          <w:rFonts w:eastAsia="Calibri" w:cs="Times New Roman"/>
          <w:lang w:eastAsia="en-NZ"/>
        </w:rPr>
        <w:t>Hold appropriate indemnity insurance (or individual Auditors</w:t>
      </w:r>
      <w:r>
        <w:rPr>
          <w:rFonts w:eastAsia="Calibri" w:cs="Times New Roman"/>
          <w:lang w:eastAsia="en-NZ"/>
        </w:rPr>
        <w:t xml:space="preserve"> must have indemnity insurance).</w:t>
      </w:r>
    </w:p>
    <w:p w14:paraId="434675BF" w14:textId="01DA9C50" w:rsidR="00951875" w:rsidRPr="009A0A9F" w:rsidRDefault="00951875" w:rsidP="00951875">
      <w:pPr>
        <w:numPr>
          <w:ilvl w:val="0"/>
          <w:numId w:val="13"/>
        </w:numPr>
        <w:spacing w:before="120" w:after="0" w:line="240" w:lineRule="auto"/>
        <w:rPr>
          <w:rFonts w:eastAsia="Calibri" w:cs="Times New Roman"/>
          <w:lang w:eastAsia="en-NZ"/>
        </w:rPr>
      </w:pPr>
      <w:r>
        <w:rPr>
          <w:rFonts w:eastAsia="Calibri" w:cs="Times New Roman"/>
          <w:lang w:eastAsia="en-NZ"/>
        </w:rPr>
        <w:t>P</w:t>
      </w:r>
      <w:r w:rsidRPr="00F307A1">
        <w:rPr>
          <w:rFonts w:eastAsia="Calibri" w:cs="Times New Roman"/>
          <w:lang w:eastAsia="en-NZ"/>
        </w:rPr>
        <w:t xml:space="preserve">rovide guidelines for </w:t>
      </w:r>
      <w:r>
        <w:rPr>
          <w:rFonts w:eastAsia="Calibri" w:cs="Times New Roman"/>
          <w:lang w:eastAsia="en-NZ"/>
        </w:rPr>
        <w:t xml:space="preserve">its own </w:t>
      </w:r>
      <w:r w:rsidRPr="00F307A1">
        <w:rPr>
          <w:rFonts w:eastAsia="Calibri" w:cs="Times New Roman"/>
          <w:lang w:eastAsia="en-NZ"/>
        </w:rPr>
        <w:t>auditors, audit quality review and at least annual auditor moderation.  </w:t>
      </w:r>
    </w:p>
    <w:p w14:paraId="50B1C0E5" w14:textId="1803F19D" w:rsidR="008914CF" w:rsidRPr="009A0A9F" w:rsidRDefault="00951875" w:rsidP="00951875">
      <w:pPr>
        <w:numPr>
          <w:ilvl w:val="0"/>
          <w:numId w:val="13"/>
        </w:numPr>
        <w:spacing w:before="120" w:after="120" w:line="240" w:lineRule="auto"/>
        <w:rPr>
          <w:rFonts w:eastAsia="Calibri" w:cs="Times New Roman"/>
          <w:lang w:eastAsia="en-NZ"/>
        </w:rPr>
      </w:pPr>
      <w:r>
        <w:rPr>
          <w:rFonts w:eastAsia="Calibri" w:cs="Times New Roman"/>
          <w:lang w:eastAsia="en-NZ"/>
        </w:rPr>
        <w:t>S</w:t>
      </w:r>
      <w:r w:rsidR="00891B2E">
        <w:rPr>
          <w:rFonts w:eastAsia="Calibri" w:cs="Times New Roman"/>
          <w:lang w:eastAsia="en-NZ"/>
        </w:rPr>
        <w:t>ystematically assess the</w:t>
      </w:r>
      <w:r w:rsidR="008A6439" w:rsidRPr="00F307A1">
        <w:rPr>
          <w:rFonts w:eastAsia="Calibri" w:cs="Times New Roman"/>
          <w:lang w:eastAsia="en-NZ"/>
        </w:rPr>
        <w:t xml:space="preserve"> level of risk</w:t>
      </w:r>
      <w:r w:rsidR="008914CF">
        <w:rPr>
          <w:rFonts w:eastAsia="Calibri" w:cs="Times New Roman"/>
          <w:lang w:eastAsia="en-NZ"/>
        </w:rPr>
        <w:t xml:space="preserve"> of the activity</w:t>
      </w:r>
      <w:r w:rsidR="00891B2E">
        <w:rPr>
          <w:rFonts w:eastAsia="Calibri" w:cs="Times New Roman"/>
          <w:lang w:eastAsia="en-NZ"/>
        </w:rPr>
        <w:t xml:space="preserve"> and adjust the amount of audit effort in proportion to that risk</w:t>
      </w:r>
      <w:r w:rsidR="008914CF">
        <w:rPr>
          <w:rFonts w:eastAsia="Calibri" w:cs="Times New Roman"/>
          <w:lang w:eastAsia="en-NZ"/>
        </w:rPr>
        <w:t xml:space="preserve">.  </w:t>
      </w:r>
      <w:r w:rsidR="00891B2E">
        <w:rPr>
          <w:rFonts w:eastAsia="Calibri" w:cs="Times New Roman"/>
          <w:lang w:eastAsia="en-NZ"/>
        </w:rPr>
        <w:t xml:space="preserve"> </w:t>
      </w:r>
      <w:r w:rsidR="008914CF" w:rsidRPr="00F307A1">
        <w:rPr>
          <w:rFonts w:eastAsia="Calibri" w:cs="Times New Roman"/>
          <w:lang w:eastAsia="en-NZ"/>
        </w:rPr>
        <w:t>The minimum requirement is a document audit however depending on the level of risk the audi</w:t>
      </w:r>
      <w:r w:rsidR="00891B2E">
        <w:rPr>
          <w:rFonts w:eastAsia="Calibri" w:cs="Times New Roman"/>
          <w:lang w:eastAsia="en-NZ"/>
        </w:rPr>
        <w:t>tor may require a site visit. (N</w:t>
      </w:r>
      <w:r w:rsidR="008914CF" w:rsidRPr="00F307A1">
        <w:rPr>
          <w:rFonts w:eastAsia="Calibri" w:cs="Times New Roman"/>
          <w:lang w:eastAsia="en-NZ"/>
        </w:rPr>
        <w:t>ote: document audits should include discussions with the operator)</w:t>
      </w:r>
    </w:p>
    <w:p w14:paraId="2F56245D" w14:textId="47745C32" w:rsidR="008A6439" w:rsidRPr="00F307A1" w:rsidRDefault="00951875" w:rsidP="00951875">
      <w:pPr>
        <w:numPr>
          <w:ilvl w:val="0"/>
          <w:numId w:val="13"/>
        </w:numPr>
        <w:spacing w:before="120" w:after="0" w:line="240" w:lineRule="auto"/>
        <w:rPr>
          <w:rFonts w:eastAsia="Calibri" w:cs="Times New Roman"/>
          <w:lang w:eastAsia="en-NZ"/>
        </w:rPr>
      </w:pPr>
      <w:r>
        <w:rPr>
          <w:rFonts w:eastAsia="Calibri" w:cs="Times New Roman"/>
          <w:lang w:eastAsia="en-NZ"/>
        </w:rPr>
        <w:t>P</w:t>
      </w:r>
      <w:r w:rsidR="008914CF">
        <w:rPr>
          <w:rFonts w:eastAsia="Calibri" w:cs="Times New Roman"/>
          <w:lang w:eastAsia="en-NZ"/>
        </w:rPr>
        <w:t xml:space="preserve">rovide </w:t>
      </w:r>
      <w:r w:rsidR="008A6439" w:rsidRPr="00F307A1">
        <w:rPr>
          <w:rFonts w:eastAsia="Calibri" w:cs="Times New Roman"/>
          <w:lang w:eastAsia="en-NZ"/>
        </w:rPr>
        <w:t>audit</w:t>
      </w:r>
      <w:r w:rsidR="008914CF">
        <w:rPr>
          <w:rFonts w:eastAsia="Calibri" w:cs="Times New Roman"/>
          <w:lang w:eastAsia="en-NZ"/>
        </w:rPr>
        <w:t>s that specifically address</w:t>
      </w:r>
      <w:r w:rsidR="008A6439" w:rsidRPr="00F307A1">
        <w:rPr>
          <w:rFonts w:eastAsia="Calibri" w:cs="Times New Roman"/>
          <w:lang w:eastAsia="en-NZ"/>
        </w:rPr>
        <w:t xml:space="preserve"> safety and ensures that the audited organisation has in place a Safety Management System (SMS) that meets the requirements of the HSWAct 2015 and specifically covers:</w:t>
      </w:r>
    </w:p>
    <w:p w14:paraId="16BDC739" w14:textId="77777777" w:rsidR="008A6439" w:rsidRPr="00F307A1" w:rsidRDefault="008A6439" w:rsidP="008914CF">
      <w:pPr>
        <w:numPr>
          <w:ilvl w:val="0"/>
          <w:numId w:val="2"/>
        </w:numPr>
        <w:spacing w:before="120" w:after="0" w:line="240" w:lineRule="auto"/>
        <w:ind w:left="1080"/>
        <w:contextualSpacing/>
        <w:rPr>
          <w:rFonts w:eastAsia="Calibri" w:cs="Times New Roman"/>
          <w:lang w:eastAsia="en-NZ"/>
        </w:rPr>
      </w:pPr>
      <w:r w:rsidRPr="00F307A1">
        <w:rPr>
          <w:rFonts w:eastAsia="Calibri" w:cs="Times New Roman"/>
          <w:lang w:eastAsia="en-NZ"/>
        </w:rPr>
        <w:t>safety policy and top leadership responsibilities;</w:t>
      </w:r>
    </w:p>
    <w:p w14:paraId="09909B78" w14:textId="77777777" w:rsidR="008A6439" w:rsidRPr="00F307A1" w:rsidRDefault="008A6439" w:rsidP="008914CF">
      <w:pPr>
        <w:numPr>
          <w:ilvl w:val="0"/>
          <w:numId w:val="2"/>
        </w:numPr>
        <w:spacing w:before="120" w:after="0" w:line="240" w:lineRule="auto"/>
        <w:ind w:left="1080"/>
        <w:contextualSpacing/>
        <w:rPr>
          <w:rFonts w:eastAsia="Calibri" w:cs="Times New Roman"/>
          <w:lang w:eastAsia="en-NZ"/>
        </w:rPr>
      </w:pPr>
      <w:r w:rsidRPr="00F307A1">
        <w:rPr>
          <w:rFonts w:eastAsia="Calibri" w:cs="Times New Roman"/>
          <w:lang w:eastAsia="en-NZ"/>
        </w:rPr>
        <w:t>risk management processes;</w:t>
      </w:r>
    </w:p>
    <w:p w14:paraId="0BA90232" w14:textId="77777777" w:rsidR="008A6439" w:rsidRPr="00F307A1" w:rsidRDefault="008A6439" w:rsidP="008914CF">
      <w:pPr>
        <w:numPr>
          <w:ilvl w:val="0"/>
          <w:numId w:val="2"/>
        </w:numPr>
        <w:spacing w:before="120" w:after="0" w:line="240" w:lineRule="auto"/>
        <w:ind w:left="1080"/>
        <w:contextualSpacing/>
        <w:rPr>
          <w:rFonts w:eastAsia="Calibri" w:cs="Times New Roman"/>
          <w:lang w:eastAsia="en-NZ"/>
        </w:rPr>
      </w:pPr>
      <w:r w:rsidRPr="00F307A1">
        <w:rPr>
          <w:rFonts w:eastAsia="Calibri" w:cs="Times New Roman"/>
          <w:lang w:eastAsia="en-NZ"/>
        </w:rPr>
        <w:t>staff competence and engagement;</w:t>
      </w:r>
    </w:p>
    <w:p w14:paraId="6DC5E318" w14:textId="77777777" w:rsidR="008A6439" w:rsidRPr="00F307A1" w:rsidRDefault="008A6439" w:rsidP="008914CF">
      <w:pPr>
        <w:numPr>
          <w:ilvl w:val="0"/>
          <w:numId w:val="2"/>
        </w:numPr>
        <w:spacing w:before="120" w:after="0" w:line="240" w:lineRule="auto"/>
        <w:ind w:left="1080"/>
        <w:contextualSpacing/>
        <w:rPr>
          <w:rFonts w:eastAsia="Calibri" w:cs="Times New Roman"/>
          <w:lang w:eastAsia="en-NZ"/>
        </w:rPr>
      </w:pPr>
      <w:r w:rsidRPr="00F307A1">
        <w:rPr>
          <w:rFonts w:eastAsia="Calibri" w:cs="Times New Roman"/>
          <w:lang w:eastAsia="en-NZ"/>
        </w:rPr>
        <w:t>incident reporting and recording processes;</w:t>
      </w:r>
    </w:p>
    <w:p w14:paraId="5BA612FE" w14:textId="77777777" w:rsidR="008A6439" w:rsidRPr="00F307A1" w:rsidRDefault="008A6439" w:rsidP="008914CF">
      <w:pPr>
        <w:numPr>
          <w:ilvl w:val="0"/>
          <w:numId w:val="2"/>
        </w:numPr>
        <w:spacing w:before="120" w:after="0" w:line="240" w:lineRule="auto"/>
        <w:ind w:left="1080"/>
        <w:contextualSpacing/>
        <w:rPr>
          <w:rFonts w:eastAsia="Calibri" w:cs="Times New Roman"/>
          <w:lang w:eastAsia="en-NZ"/>
        </w:rPr>
      </w:pPr>
      <w:r w:rsidRPr="00F307A1">
        <w:rPr>
          <w:rFonts w:eastAsia="Calibri" w:cs="Times New Roman"/>
          <w:lang w:eastAsia="en-NZ"/>
        </w:rPr>
        <w:t>emergency response plans; and</w:t>
      </w:r>
    </w:p>
    <w:p w14:paraId="0D337D1B" w14:textId="77777777" w:rsidR="008A6439" w:rsidRPr="00F307A1" w:rsidRDefault="008A6439" w:rsidP="008914CF">
      <w:pPr>
        <w:numPr>
          <w:ilvl w:val="0"/>
          <w:numId w:val="2"/>
        </w:numPr>
        <w:spacing w:before="120" w:after="0" w:line="240" w:lineRule="auto"/>
        <w:ind w:left="1080"/>
        <w:contextualSpacing/>
        <w:rPr>
          <w:rFonts w:eastAsia="Calibri" w:cs="Times New Roman"/>
          <w:lang w:eastAsia="en-NZ"/>
        </w:rPr>
      </w:pPr>
      <w:r w:rsidRPr="00F307A1">
        <w:rPr>
          <w:rFonts w:eastAsia="Calibri" w:cs="Times New Roman"/>
          <w:lang w:eastAsia="en-NZ"/>
        </w:rPr>
        <w:t>continual improvement.</w:t>
      </w:r>
    </w:p>
    <w:p w14:paraId="38182713" w14:textId="36B501D3" w:rsidR="008914CF" w:rsidRPr="00F307A1" w:rsidRDefault="008A6439" w:rsidP="009A0A9F">
      <w:pPr>
        <w:spacing w:before="120" w:after="0" w:line="240" w:lineRule="auto"/>
        <w:ind w:left="360"/>
        <w:rPr>
          <w:rFonts w:eastAsia="Calibri" w:cs="Times New Roman"/>
          <w:lang w:eastAsia="en-NZ"/>
        </w:rPr>
      </w:pPr>
      <w:r w:rsidRPr="00F307A1">
        <w:rPr>
          <w:rFonts w:eastAsia="Calibri" w:cs="Times New Roman"/>
          <w:lang w:eastAsia="en-NZ"/>
        </w:rPr>
        <w:t>Note: The SMS does not have to be a stand-alone document; it may be part of the organisations broader business plan. There does need to be a specific Safety Policy.</w:t>
      </w:r>
    </w:p>
    <w:p w14:paraId="2140B75C" w14:textId="77777777" w:rsidR="00951875" w:rsidRDefault="00951875" w:rsidP="00951875">
      <w:pPr>
        <w:pStyle w:val="ListParagraph"/>
        <w:numPr>
          <w:ilvl w:val="0"/>
          <w:numId w:val="13"/>
        </w:numPr>
        <w:spacing w:before="120" w:after="120" w:line="240" w:lineRule="auto"/>
        <w:rPr>
          <w:rFonts w:eastAsia="Calibri" w:cs="Times New Roman"/>
          <w:lang w:eastAsia="en-NZ"/>
        </w:rPr>
      </w:pPr>
      <w:r>
        <w:rPr>
          <w:rFonts w:eastAsia="Calibri" w:cs="Times New Roman"/>
          <w:lang w:eastAsia="en-NZ"/>
        </w:rPr>
        <w:t>Ensure consistent auditing against the requirements of a relevant, recognised audit standard such as ISO 21101, ISO 45001, AS/NZS 4801, or equivalent. This will include:</w:t>
      </w:r>
    </w:p>
    <w:p w14:paraId="4AC705E9" w14:textId="6115D9C4" w:rsidR="00951875" w:rsidRDefault="00203932" w:rsidP="00951875">
      <w:pPr>
        <w:numPr>
          <w:ilvl w:val="0"/>
          <w:numId w:val="14"/>
        </w:numPr>
        <w:spacing w:before="120" w:after="0" w:line="240" w:lineRule="auto"/>
        <w:contextualSpacing/>
        <w:rPr>
          <w:rFonts w:eastAsia="Calibri" w:cs="Times New Roman"/>
          <w:lang w:eastAsia="en-NZ"/>
        </w:rPr>
      </w:pPr>
      <w:r>
        <w:rPr>
          <w:rFonts w:eastAsia="Calibri" w:cs="Times New Roman"/>
          <w:lang w:eastAsia="en-NZ"/>
        </w:rPr>
        <w:t>p</w:t>
      </w:r>
      <w:r w:rsidR="00951875" w:rsidRPr="00F307A1">
        <w:rPr>
          <w:rFonts w:eastAsia="Calibri" w:cs="Times New Roman"/>
          <w:lang w:eastAsia="en-NZ"/>
        </w:rPr>
        <w:t>rovid</w:t>
      </w:r>
      <w:r w:rsidR="00951875">
        <w:rPr>
          <w:rFonts w:eastAsia="Calibri" w:cs="Times New Roman"/>
          <w:lang w:eastAsia="en-NZ"/>
        </w:rPr>
        <w:t>ing</w:t>
      </w:r>
      <w:r w:rsidR="00951875" w:rsidRPr="00F307A1">
        <w:rPr>
          <w:rFonts w:eastAsia="Calibri" w:cs="Times New Roman"/>
          <w:lang w:eastAsia="en-NZ"/>
        </w:rPr>
        <w:t xml:space="preserve"> guidelines for auditors, audit quality review and at least annual auditor moderation.</w:t>
      </w:r>
    </w:p>
    <w:p w14:paraId="503A8C0B" w14:textId="1FC70328" w:rsidR="00951875" w:rsidRDefault="00203932" w:rsidP="00951875">
      <w:pPr>
        <w:numPr>
          <w:ilvl w:val="0"/>
          <w:numId w:val="14"/>
        </w:numPr>
        <w:spacing w:before="120" w:after="0" w:line="240" w:lineRule="auto"/>
        <w:contextualSpacing/>
        <w:rPr>
          <w:rFonts w:eastAsia="Calibri" w:cs="Times New Roman"/>
          <w:lang w:eastAsia="en-NZ"/>
        </w:rPr>
      </w:pPr>
      <w:r>
        <w:rPr>
          <w:rFonts w:eastAsia="Calibri" w:cs="Times New Roman"/>
          <w:lang w:eastAsia="en-NZ"/>
        </w:rPr>
        <w:t>e</w:t>
      </w:r>
      <w:r w:rsidR="00951875">
        <w:rPr>
          <w:rFonts w:eastAsia="Calibri" w:cs="Times New Roman"/>
          <w:lang w:eastAsia="en-NZ"/>
        </w:rPr>
        <w:t>nsuring auditors are competent in line with independent good practice guidance such as: section 3 of the NZ Adventure Activities Certification Scheme (NZAACS); or ISO 17021, Qualmark or a similar relevant audit framework.</w:t>
      </w:r>
    </w:p>
    <w:p w14:paraId="711B5803" w14:textId="62A897A3" w:rsidR="00951875" w:rsidRDefault="00203932" w:rsidP="00951875">
      <w:pPr>
        <w:numPr>
          <w:ilvl w:val="0"/>
          <w:numId w:val="14"/>
        </w:numPr>
        <w:spacing w:before="120" w:after="0" w:line="240" w:lineRule="auto"/>
        <w:contextualSpacing/>
        <w:rPr>
          <w:rFonts w:eastAsia="Calibri" w:cs="Times New Roman"/>
          <w:lang w:eastAsia="en-NZ"/>
        </w:rPr>
      </w:pPr>
      <w:r>
        <w:rPr>
          <w:rFonts w:eastAsia="Calibri" w:cs="Times New Roman"/>
          <w:lang w:eastAsia="en-NZ"/>
        </w:rPr>
        <w:t>e</w:t>
      </w:r>
      <w:r w:rsidR="00951875">
        <w:rPr>
          <w:rFonts w:eastAsia="Calibri" w:cs="Times New Roman"/>
          <w:lang w:eastAsia="en-NZ"/>
        </w:rPr>
        <w:t>nsuring an element of on-site audit activity if the auditor does not meet the NZAACS competencies</w:t>
      </w:r>
    </w:p>
    <w:p w14:paraId="410C5903" w14:textId="4C59BBF1" w:rsidR="00951875" w:rsidRDefault="00203932" w:rsidP="00951875">
      <w:pPr>
        <w:numPr>
          <w:ilvl w:val="0"/>
          <w:numId w:val="14"/>
        </w:numPr>
        <w:spacing w:before="120" w:after="0" w:line="240" w:lineRule="auto"/>
        <w:contextualSpacing/>
        <w:rPr>
          <w:rFonts w:eastAsia="Calibri" w:cs="Times New Roman"/>
          <w:lang w:eastAsia="en-NZ"/>
        </w:rPr>
      </w:pPr>
      <w:r>
        <w:rPr>
          <w:rFonts w:eastAsia="Calibri" w:cs="Times New Roman"/>
          <w:lang w:eastAsia="en-NZ"/>
        </w:rPr>
        <w:t>i</w:t>
      </w:r>
      <w:r w:rsidR="00951875">
        <w:rPr>
          <w:rFonts w:eastAsia="Calibri" w:cs="Times New Roman"/>
          <w:lang w:eastAsia="en-NZ"/>
        </w:rPr>
        <w:t xml:space="preserve">mplementing a Code of Conduct equivalent to </w:t>
      </w:r>
      <w:r w:rsidR="00951875" w:rsidRPr="00F307A1">
        <w:rPr>
          <w:rFonts w:eastAsia="Calibri" w:cs="Times New Roman"/>
          <w:lang w:eastAsia="en-NZ"/>
        </w:rPr>
        <w:t xml:space="preserve">the </w:t>
      </w:r>
      <w:hyperlink r:id="rId12" w:tgtFrame="_blank" w:history="1">
        <w:r w:rsidR="00951875" w:rsidRPr="00951875">
          <w:rPr>
            <w:rFonts w:eastAsia="Calibri" w:cs="Times New Roman"/>
            <w:lang w:eastAsia="en-NZ"/>
          </w:rPr>
          <w:t>New Zealand Adventure Activities Certification Scheme v1.18, Appendix A: Auditors Code of Conduct</w:t>
        </w:r>
      </w:hyperlink>
    </w:p>
    <w:p w14:paraId="59C9DCD3" w14:textId="118C2E9C" w:rsidR="008914CF" w:rsidRPr="009A0A9F" w:rsidRDefault="00951875" w:rsidP="00951875">
      <w:pPr>
        <w:numPr>
          <w:ilvl w:val="0"/>
          <w:numId w:val="13"/>
        </w:numPr>
        <w:spacing w:before="120" w:after="0" w:line="240" w:lineRule="auto"/>
        <w:rPr>
          <w:rFonts w:eastAsia="Calibri" w:cs="Times New Roman"/>
          <w:lang w:eastAsia="en-NZ"/>
        </w:rPr>
      </w:pPr>
      <w:r>
        <w:rPr>
          <w:rFonts w:eastAsia="Calibri" w:cs="Times New Roman"/>
          <w:lang w:eastAsia="en-NZ"/>
        </w:rPr>
        <w:t>P</w:t>
      </w:r>
      <w:r w:rsidR="008A6439" w:rsidRPr="00F307A1">
        <w:rPr>
          <w:rFonts w:eastAsia="Calibri" w:cs="Times New Roman"/>
          <w:lang w:eastAsia="en-NZ"/>
        </w:rPr>
        <w:t xml:space="preserve">rovide audits valid for a maximum of 3 years which, depending on the level of risk, may include an annual declaration of the same type as </w:t>
      </w:r>
      <w:hyperlink r:id="rId13" w:tgtFrame="_blank" w:history="1">
        <w:r w:rsidR="008A6439" w:rsidRPr="00F307A1">
          <w:rPr>
            <w:rFonts w:eastAsia="Calibri" w:cs="Times New Roman"/>
            <w:color w:val="0000FF"/>
            <w:u w:val="single"/>
            <w:lang w:eastAsia="en-NZ"/>
          </w:rPr>
          <w:t>New Zealand Adventure Activities Certification Scheme v1.18, Appendix D: Declaration of Conformity</w:t>
        </w:r>
      </w:hyperlink>
      <w:r w:rsidR="008A6439" w:rsidRPr="00F307A1">
        <w:rPr>
          <w:rFonts w:eastAsia="Calibri" w:cs="Times New Roman"/>
          <w:lang w:eastAsia="en-NZ"/>
        </w:rPr>
        <w:t xml:space="preserve">. </w:t>
      </w:r>
    </w:p>
    <w:p w14:paraId="6047F0F0" w14:textId="0344691C" w:rsidR="009A0A9F" w:rsidRDefault="008A6439" w:rsidP="00203932">
      <w:pPr>
        <w:spacing w:before="120" w:after="0" w:line="240" w:lineRule="auto"/>
      </w:pPr>
      <w:r w:rsidRPr="00F307A1">
        <w:rPr>
          <w:rFonts w:eastAsia="Calibri" w:cs="Times New Roman"/>
          <w:lang w:eastAsia="en-NZ"/>
        </w:rPr>
        <w:t xml:space="preserve">Note: DOC acknowledges that </w:t>
      </w:r>
      <w:r w:rsidR="00203932">
        <w:rPr>
          <w:rFonts w:eastAsia="Calibri" w:cs="Times New Roman"/>
          <w:lang w:eastAsia="en-NZ"/>
        </w:rPr>
        <w:t xml:space="preserve">all </w:t>
      </w:r>
      <w:r w:rsidRPr="00F307A1">
        <w:rPr>
          <w:rFonts w:eastAsia="Calibri" w:cs="Times New Roman"/>
          <w:lang w:eastAsia="en-NZ"/>
        </w:rPr>
        <w:t>organisations recognised by WorkSafe as adventure activity audit providers meet these criteria.</w:t>
      </w:r>
      <w:r w:rsidR="009A0A9F">
        <w:br w:type="page"/>
      </w:r>
    </w:p>
    <w:p w14:paraId="1BAFC3EA" w14:textId="6AF16C96" w:rsidR="001E6F7E" w:rsidRDefault="001E6F7E" w:rsidP="001E6F7E">
      <w:pPr>
        <w:pStyle w:val="Heading1"/>
      </w:pPr>
      <w:r w:rsidRPr="001E6F7E">
        <w:lastRenderedPageBreak/>
        <w:t>Audit Providing Organisation</w:t>
      </w:r>
      <w:r>
        <w:t xml:space="preserve"> application form </w:t>
      </w:r>
    </w:p>
    <w:p w14:paraId="41A4BFDC" w14:textId="6CA48DAC" w:rsidR="001E6F7E" w:rsidRDefault="00BB5C6A" w:rsidP="001E6F7E">
      <w:pPr>
        <w:spacing w:before="120" w:after="0" w:line="240" w:lineRule="auto"/>
        <w:rPr>
          <w:rFonts w:eastAsia="Calibri" w:cs="Times New Roman"/>
          <w:lang w:eastAsia="en-NZ"/>
        </w:rPr>
      </w:pPr>
      <w:r>
        <w:t xml:space="preserve">Please read the instructions on Page 1 and send this form to Adrian Gilby at DOC,  </w:t>
      </w:r>
      <w:hyperlink r:id="rId14" w:history="1">
        <w:r w:rsidRPr="008C5D95">
          <w:rPr>
            <w:rStyle w:val="Hyperlink"/>
          </w:rPr>
          <w:t>agilby@doc.govt.nz</w:t>
        </w:r>
      </w:hyperlink>
      <w:r>
        <w:t>.</w:t>
      </w:r>
    </w:p>
    <w:p w14:paraId="7FDBF4AB" w14:textId="77777777" w:rsidR="00BB5C6A" w:rsidRDefault="00BB5C6A" w:rsidP="001E6F7E">
      <w:pPr>
        <w:spacing w:before="120" w:after="0" w:line="240" w:lineRule="auto"/>
        <w:rPr>
          <w:rFonts w:eastAsia="Calibri" w:cs="Times New Roman"/>
          <w:lang w:eastAsia="en-NZ"/>
        </w:rPr>
      </w:pPr>
    </w:p>
    <w:tbl>
      <w:tblPr>
        <w:tblStyle w:val="TableGrid"/>
        <w:tblW w:w="0" w:type="auto"/>
        <w:tblLook w:val="04A0" w:firstRow="1" w:lastRow="0" w:firstColumn="1" w:lastColumn="0" w:noHBand="0" w:noVBand="1"/>
      </w:tblPr>
      <w:tblGrid>
        <w:gridCol w:w="1524"/>
        <w:gridCol w:w="7492"/>
      </w:tblGrid>
      <w:tr w:rsidR="001E6F7E" w14:paraId="517016D1" w14:textId="77777777" w:rsidTr="008461DF">
        <w:tc>
          <w:tcPr>
            <w:tcW w:w="1524" w:type="dxa"/>
          </w:tcPr>
          <w:p w14:paraId="1015CEC0" w14:textId="77777777" w:rsidR="001E6F7E" w:rsidRDefault="001E6F7E" w:rsidP="008461DF">
            <w:pPr>
              <w:spacing w:before="240" w:after="240"/>
              <w:ind w:left="34"/>
              <w:jc w:val="center"/>
              <w:rPr>
                <w:rStyle w:val="Emphasis"/>
              </w:rPr>
            </w:pPr>
            <w:r>
              <w:rPr>
                <w:rStyle w:val="Emphasis"/>
              </w:rPr>
              <w:t>Organisation:</w:t>
            </w:r>
          </w:p>
        </w:tc>
        <w:tc>
          <w:tcPr>
            <w:tcW w:w="7492" w:type="dxa"/>
          </w:tcPr>
          <w:p w14:paraId="2FA958BE" w14:textId="77777777" w:rsidR="001E6F7E" w:rsidRDefault="001E6F7E" w:rsidP="008461DF"/>
          <w:p w14:paraId="0EBE4552" w14:textId="77777777" w:rsidR="001E6F7E" w:rsidRPr="00ED7057" w:rsidRDefault="001E6F7E" w:rsidP="008461DF">
            <w:r w:rsidRPr="00ED7057">
              <w:t>Legal Name:</w:t>
            </w:r>
          </w:p>
          <w:p w14:paraId="34761B87" w14:textId="77777777" w:rsidR="001E6F7E" w:rsidRPr="00ED7057" w:rsidRDefault="001E6F7E" w:rsidP="008461DF"/>
          <w:p w14:paraId="320AE17C" w14:textId="77777777" w:rsidR="001E6F7E" w:rsidRPr="00ED7057" w:rsidRDefault="001E6F7E" w:rsidP="008461DF">
            <w:r w:rsidRPr="00ED7057">
              <w:t>Trading Name:</w:t>
            </w:r>
          </w:p>
          <w:p w14:paraId="66792AE9" w14:textId="77777777" w:rsidR="001E6F7E" w:rsidRPr="00ED7057" w:rsidRDefault="001E6F7E" w:rsidP="008461DF"/>
        </w:tc>
      </w:tr>
      <w:tr w:rsidR="001E6F7E" w14:paraId="699E8839" w14:textId="77777777" w:rsidTr="008461DF">
        <w:tc>
          <w:tcPr>
            <w:tcW w:w="1524" w:type="dxa"/>
          </w:tcPr>
          <w:p w14:paraId="54283886" w14:textId="77777777" w:rsidR="001E6F7E" w:rsidRDefault="001E6F7E" w:rsidP="008461DF">
            <w:pPr>
              <w:spacing w:before="240" w:after="240"/>
              <w:ind w:left="34"/>
              <w:jc w:val="center"/>
              <w:rPr>
                <w:rStyle w:val="Emphasis"/>
              </w:rPr>
            </w:pPr>
            <w:r>
              <w:rPr>
                <w:rStyle w:val="Emphasis"/>
              </w:rPr>
              <w:t>Contact person name:</w:t>
            </w:r>
          </w:p>
        </w:tc>
        <w:tc>
          <w:tcPr>
            <w:tcW w:w="7492" w:type="dxa"/>
          </w:tcPr>
          <w:p w14:paraId="260D5C66" w14:textId="77777777" w:rsidR="001E6F7E" w:rsidRPr="00ED7057" w:rsidRDefault="001E6F7E" w:rsidP="008461DF"/>
        </w:tc>
      </w:tr>
      <w:tr w:rsidR="001E6F7E" w14:paraId="67F00DE6" w14:textId="77777777" w:rsidTr="008461DF">
        <w:tc>
          <w:tcPr>
            <w:tcW w:w="1524" w:type="dxa"/>
          </w:tcPr>
          <w:p w14:paraId="01DCE461" w14:textId="77777777" w:rsidR="001E6F7E" w:rsidRDefault="001E6F7E" w:rsidP="008461DF">
            <w:pPr>
              <w:spacing w:before="240" w:after="240"/>
              <w:ind w:left="34"/>
              <w:jc w:val="center"/>
              <w:rPr>
                <w:rStyle w:val="Emphasis"/>
              </w:rPr>
            </w:pPr>
            <w:r>
              <w:rPr>
                <w:rStyle w:val="Emphasis"/>
              </w:rPr>
              <w:t>Contact details:</w:t>
            </w:r>
          </w:p>
        </w:tc>
        <w:tc>
          <w:tcPr>
            <w:tcW w:w="7492" w:type="dxa"/>
          </w:tcPr>
          <w:p w14:paraId="1231FF69" w14:textId="77777777" w:rsidR="001E6F7E" w:rsidRPr="00ED7057" w:rsidRDefault="001E6F7E" w:rsidP="008461DF"/>
          <w:p w14:paraId="23200C08" w14:textId="77777777" w:rsidR="001E6F7E" w:rsidRPr="00ED7057" w:rsidRDefault="001E6F7E" w:rsidP="008461DF">
            <w:r w:rsidRPr="00ED7057">
              <w:t>Email:</w:t>
            </w:r>
          </w:p>
          <w:p w14:paraId="1F7A51D2" w14:textId="77777777" w:rsidR="001E6F7E" w:rsidRPr="00ED7057" w:rsidRDefault="001E6F7E" w:rsidP="008461DF"/>
          <w:p w14:paraId="32A1A0A2" w14:textId="77777777" w:rsidR="001E6F7E" w:rsidRPr="00ED7057" w:rsidRDefault="001E6F7E" w:rsidP="008461DF">
            <w:r w:rsidRPr="00ED7057">
              <w:t>Post:</w:t>
            </w:r>
          </w:p>
          <w:p w14:paraId="7D9C3B4B" w14:textId="77777777" w:rsidR="001E6F7E" w:rsidRPr="00ED7057" w:rsidRDefault="001E6F7E" w:rsidP="008461DF"/>
          <w:p w14:paraId="6D9BA148" w14:textId="77777777" w:rsidR="001E6F7E" w:rsidRPr="00ED7057" w:rsidRDefault="001E6F7E" w:rsidP="008461DF">
            <w:r w:rsidRPr="00ED7057">
              <w:t>Landline:</w:t>
            </w:r>
          </w:p>
          <w:p w14:paraId="06873CDF" w14:textId="77777777" w:rsidR="001E6F7E" w:rsidRPr="00ED7057" w:rsidRDefault="001E6F7E" w:rsidP="008461DF"/>
          <w:p w14:paraId="0D36F847" w14:textId="77777777" w:rsidR="001E6F7E" w:rsidRPr="00ED7057" w:rsidRDefault="001E6F7E" w:rsidP="008461DF">
            <w:r w:rsidRPr="00ED7057">
              <w:t>Mobile:</w:t>
            </w:r>
          </w:p>
          <w:p w14:paraId="10DF774A" w14:textId="77777777" w:rsidR="001E6F7E" w:rsidRPr="00ED7057" w:rsidRDefault="001E6F7E" w:rsidP="008461DF"/>
        </w:tc>
      </w:tr>
      <w:tr w:rsidR="001E6F7E" w14:paraId="14DCED97" w14:textId="77777777" w:rsidTr="008461DF">
        <w:tc>
          <w:tcPr>
            <w:tcW w:w="1524" w:type="dxa"/>
          </w:tcPr>
          <w:p w14:paraId="3B794BD1" w14:textId="77777777" w:rsidR="00743230" w:rsidRDefault="00743230" w:rsidP="008461DF">
            <w:pPr>
              <w:pStyle w:val="ListParagraph"/>
              <w:numPr>
                <w:ilvl w:val="0"/>
                <w:numId w:val="7"/>
              </w:numPr>
              <w:spacing w:before="240" w:after="240"/>
              <w:ind w:left="0" w:firstLine="0"/>
              <w:jc w:val="center"/>
              <w:rPr>
                <w:rStyle w:val="Emphasis"/>
              </w:rPr>
            </w:pPr>
          </w:p>
          <w:p w14:paraId="7F521D59" w14:textId="6D0838D3" w:rsidR="001E6F7E" w:rsidRDefault="00743230" w:rsidP="00743230">
            <w:pPr>
              <w:spacing w:before="240" w:after="240"/>
              <w:rPr>
                <w:rStyle w:val="Emphasis"/>
              </w:rPr>
            </w:pPr>
            <w:r>
              <w:rPr>
                <w:rStyle w:val="Emphasis"/>
              </w:rPr>
              <w:t>Please tick</w:t>
            </w:r>
          </w:p>
        </w:tc>
        <w:tc>
          <w:tcPr>
            <w:tcW w:w="7492" w:type="dxa"/>
          </w:tcPr>
          <w:p w14:paraId="0C3CD5A6" w14:textId="77777777" w:rsidR="001E6F7E" w:rsidRPr="00ED7057" w:rsidRDefault="001E6F7E" w:rsidP="008461DF">
            <w:pPr>
              <w:spacing w:before="240" w:after="240"/>
              <w:rPr>
                <w:rStyle w:val="Emphasis"/>
                <w:i w:val="0"/>
              </w:rPr>
            </w:pPr>
            <w:r w:rsidRPr="00ED7057">
              <w:rPr>
                <w:rStyle w:val="Emphasis"/>
                <w:i w:val="0"/>
              </w:rPr>
              <w:t>I have read and understand all the criteria to be an Audit Providing Organisation, and declare that my organisation, (</w:t>
            </w:r>
            <w:r w:rsidRPr="004C356F">
              <w:rPr>
                <w:rStyle w:val="Emphasis"/>
              </w:rPr>
              <w:t>insert name of your organisation</w:t>
            </w:r>
            <w:r w:rsidRPr="00ED7057">
              <w:rPr>
                <w:rStyle w:val="Emphasis"/>
                <w:i w:val="0"/>
              </w:rPr>
              <w:t>) meets all the criteria, and will continue to meet all the criteria while it carries out audits of safety plans for activities undertaken by concessionaires on public conservation land and waters managed by DOC.</w:t>
            </w:r>
          </w:p>
        </w:tc>
      </w:tr>
      <w:tr w:rsidR="001E6F7E" w:rsidRPr="006A1D48" w14:paraId="0E2BD548" w14:textId="77777777" w:rsidTr="008461DF">
        <w:tc>
          <w:tcPr>
            <w:tcW w:w="1524" w:type="dxa"/>
          </w:tcPr>
          <w:p w14:paraId="7A937ABD" w14:textId="77777777" w:rsidR="001E6F7E" w:rsidRDefault="001E6F7E" w:rsidP="008461DF">
            <w:pPr>
              <w:spacing w:before="240" w:after="240"/>
              <w:ind w:left="34"/>
              <w:jc w:val="center"/>
              <w:rPr>
                <w:rStyle w:val="Emphasis"/>
              </w:rPr>
            </w:pPr>
          </w:p>
        </w:tc>
        <w:tc>
          <w:tcPr>
            <w:tcW w:w="7492" w:type="dxa"/>
          </w:tcPr>
          <w:p w14:paraId="4FE6BA6D" w14:textId="377521BD" w:rsidR="001E6F7E" w:rsidRDefault="001E6F7E" w:rsidP="008461DF">
            <w:r>
              <w:t>I have attached the following evidence</w:t>
            </w:r>
            <w:r w:rsidR="002917BF">
              <w:t xml:space="preserve"> to demonstrate how the organisation meets the criteria</w:t>
            </w:r>
            <w:r>
              <w:t>:</w:t>
            </w:r>
          </w:p>
          <w:p w14:paraId="618AC508" w14:textId="77777777" w:rsidR="001E6F7E" w:rsidRDefault="001E6F7E" w:rsidP="008461DF"/>
          <w:p w14:paraId="23B5B127" w14:textId="6E7E9C7E" w:rsidR="001E6F7E" w:rsidRDefault="00214F80" w:rsidP="008461DF">
            <w:pPr>
              <w:pStyle w:val="ListParagraph"/>
              <w:numPr>
                <w:ilvl w:val="0"/>
                <w:numId w:val="6"/>
              </w:numPr>
            </w:pPr>
            <w:r>
              <w:t xml:space="preserve">Eg. </w:t>
            </w:r>
            <w:r w:rsidR="001E6F7E">
              <w:t>JASANZ Certificate of Accreditation to NZAACS</w:t>
            </w:r>
          </w:p>
          <w:p w14:paraId="0C59F891" w14:textId="1A7B94FC" w:rsidR="001E6F7E" w:rsidRDefault="002917BF" w:rsidP="008461DF">
            <w:pPr>
              <w:pStyle w:val="ListParagraph"/>
              <w:numPr>
                <w:ilvl w:val="0"/>
                <w:numId w:val="6"/>
              </w:numPr>
            </w:pPr>
            <w:r>
              <w:t>Examples of the systems and processes that demonstrate each of the criteria</w:t>
            </w:r>
          </w:p>
          <w:p w14:paraId="120F5028" w14:textId="77777777" w:rsidR="004C356F" w:rsidRDefault="004C356F" w:rsidP="008461DF">
            <w:pPr>
              <w:pStyle w:val="ListParagraph"/>
              <w:numPr>
                <w:ilvl w:val="0"/>
                <w:numId w:val="6"/>
              </w:numPr>
            </w:pPr>
          </w:p>
          <w:p w14:paraId="3A98ACD9" w14:textId="77777777" w:rsidR="001E6F7E" w:rsidRPr="006A1D48" w:rsidRDefault="001E6F7E" w:rsidP="00743230">
            <w:pPr>
              <w:pStyle w:val="ListParagraph"/>
              <w:numPr>
                <w:ilvl w:val="0"/>
                <w:numId w:val="6"/>
              </w:numPr>
            </w:pPr>
          </w:p>
        </w:tc>
      </w:tr>
      <w:tr w:rsidR="001E6F7E" w14:paraId="3E2C525C" w14:textId="77777777" w:rsidTr="008461DF">
        <w:tc>
          <w:tcPr>
            <w:tcW w:w="1524" w:type="dxa"/>
          </w:tcPr>
          <w:p w14:paraId="42A1D378" w14:textId="77777777" w:rsidR="001E6F7E" w:rsidRDefault="001E6F7E" w:rsidP="008461DF">
            <w:pPr>
              <w:spacing w:before="240" w:after="240"/>
              <w:ind w:left="34"/>
              <w:jc w:val="center"/>
              <w:rPr>
                <w:rStyle w:val="Emphasis"/>
              </w:rPr>
            </w:pPr>
            <w:r>
              <w:rPr>
                <w:rStyle w:val="Emphasis"/>
              </w:rPr>
              <w:t>Signature</w:t>
            </w:r>
          </w:p>
        </w:tc>
        <w:tc>
          <w:tcPr>
            <w:tcW w:w="7492" w:type="dxa"/>
          </w:tcPr>
          <w:p w14:paraId="553A71CB" w14:textId="77777777" w:rsidR="001E6F7E" w:rsidRDefault="001E6F7E" w:rsidP="008461DF"/>
        </w:tc>
      </w:tr>
      <w:tr w:rsidR="001E6F7E" w14:paraId="3D4D17EC" w14:textId="77777777" w:rsidTr="008461DF">
        <w:tc>
          <w:tcPr>
            <w:tcW w:w="1524" w:type="dxa"/>
          </w:tcPr>
          <w:p w14:paraId="4560768D" w14:textId="77777777" w:rsidR="001E6F7E" w:rsidRDefault="001E6F7E" w:rsidP="008461DF">
            <w:pPr>
              <w:spacing w:before="240" w:after="240"/>
              <w:ind w:left="34"/>
              <w:jc w:val="center"/>
              <w:rPr>
                <w:rStyle w:val="Emphasis"/>
              </w:rPr>
            </w:pPr>
            <w:r>
              <w:rPr>
                <w:rStyle w:val="Emphasis"/>
              </w:rPr>
              <w:t>Date</w:t>
            </w:r>
          </w:p>
        </w:tc>
        <w:tc>
          <w:tcPr>
            <w:tcW w:w="7492" w:type="dxa"/>
          </w:tcPr>
          <w:p w14:paraId="20B0E4FA" w14:textId="77777777" w:rsidR="001E6F7E" w:rsidRDefault="001E6F7E" w:rsidP="008461DF"/>
        </w:tc>
      </w:tr>
    </w:tbl>
    <w:p w14:paraId="73EA11BE" w14:textId="77777777" w:rsidR="001E6F7E" w:rsidRPr="00F307A1" w:rsidRDefault="001E6F7E" w:rsidP="001E6F7E">
      <w:pPr>
        <w:spacing w:before="120" w:after="0" w:line="240" w:lineRule="auto"/>
        <w:rPr>
          <w:rFonts w:eastAsia="Calibri" w:cs="Times New Roman"/>
          <w:lang w:eastAsia="en-NZ"/>
        </w:rPr>
      </w:pPr>
    </w:p>
    <w:sectPr w:rsidR="001E6F7E" w:rsidRPr="00F307A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2751" w14:textId="77777777" w:rsidR="00E5007B" w:rsidRDefault="00E5007B" w:rsidP="00726B60">
      <w:pPr>
        <w:spacing w:after="0" w:line="240" w:lineRule="auto"/>
      </w:pPr>
      <w:r>
        <w:separator/>
      </w:r>
    </w:p>
  </w:endnote>
  <w:endnote w:type="continuationSeparator" w:id="0">
    <w:p w14:paraId="50C58E75" w14:textId="77777777" w:rsidR="00E5007B" w:rsidRDefault="00E5007B" w:rsidP="0072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cher Book">
    <w:panose1 w:val="02000000000000000000"/>
    <w:charset w:val="00"/>
    <w:family w:val="modern"/>
    <w:notTrueType/>
    <w:pitch w:val="variable"/>
    <w:sig w:usb0="A00000FF" w:usb1="4000005B" w:usb2="00000000" w:usb3="00000000" w:csb0="0000008B" w:csb1="00000000"/>
  </w:font>
  <w:font w:name="Archer Semibold">
    <w:panose1 w:val="00000000000000000000"/>
    <w:charset w:val="00"/>
    <w:family w:val="modern"/>
    <w:notTrueType/>
    <w:pitch w:val="variable"/>
    <w:sig w:usb0="A00000FF" w:usb1="4000005B" w:usb2="00000000" w:usb3="00000000" w:csb0="0000008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789689"/>
      <w:docPartObj>
        <w:docPartGallery w:val="Page Numbers (Bottom of Page)"/>
        <w:docPartUnique/>
      </w:docPartObj>
    </w:sdtPr>
    <w:sdtEndPr>
      <w:rPr>
        <w:noProof/>
      </w:rPr>
    </w:sdtEndPr>
    <w:sdtContent>
      <w:p w14:paraId="2D5FE69B" w14:textId="579D7523" w:rsidR="00726B60" w:rsidRDefault="00726B60">
        <w:pPr>
          <w:pStyle w:val="Footer"/>
          <w:jc w:val="right"/>
        </w:pPr>
        <w:r>
          <w:fldChar w:fldCharType="begin"/>
        </w:r>
        <w:r>
          <w:instrText xml:space="preserve"> PAGE   \* MERGEFORMAT </w:instrText>
        </w:r>
        <w:r>
          <w:fldChar w:fldCharType="separate"/>
        </w:r>
        <w:r w:rsidR="007F1A05">
          <w:rPr>
            <w:noProof/>
          </w:rPr>
          <w:t>1</w:t>
        </w:r>
        <w:r>
          <w:rPr>
            <w:noProof/>
          </w:rPr>
          <w:fldChar w:fldCharType="end"/>
        </w:r>
      </w:p>
    </w:sdtContent>
  </w:sdt>
  <w:p w14:paraId="3B3AEC9C" w14:textId="77777777" w:rsidR="00726B60" w:rsidRDefault="0072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6BF8" w14:textId="77777777" w:rsidR="00E5007B" w:rsidRDefault="00E5007B" w:rsidP="00726B60">
      <w:pPr>
        <w:spacing w:after="0" w:line="240" w:lineRule="auto"/>
      </w:pPr>
      <w:r>
        <w:separator/>
      </w:r>
    </w:p>
  </w:footnote>
  <w:footnote w:type="continuationSeparator" w:id="0">
    <w:p w14:paraId="7B48B534" w14:textId="77777777" w:rsidR="00E5007B" w:rsidRDefault="00E5007B" w:rsidP="00726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CBB"/>
    <w:multiLevelType w:val="hybridMultilevel"/>
    <w:tmpl w:val="E43A36FA"/>
    <w:lvl w:ilvl="0" w:tplc="1409000F">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C8689E"/>
    <w:multiLevelType w:val="hybridMultilevel"/>
    <w:tmpl w:val="491C41AA"/>
    <w:lvl w:ilvl="0" w:tplc="39BC563A">
      <w:start w:val="1"/>
      <w:numFmt w:val="decimal"/>
      <w:lvlText w:val="%1."/>
      <w:lvlJc w:val="left"/>
      <w:pPr>
        <w:ind w:left="1052" w:hanging="690"/>
      </w:pPr>
      <w:rPr>
        <w:rFonts w:hint="default"/>
      </w:rPr>
    </w:lvl>
    <w:lvl w:ilvl="1" w:tplc="14090019" w:tentative="1">
      <w:start w:val="1"/>
      <w:numFmt w:val="lowerLetter"/>
      <w:lvlText w:val="%2."/>
      <w:lvlJc w:val="left"/>
      <w:pPr>
        <w:ind w:left="1442" w:hanging="360"/>
      </w:pPr>
    </w:lvl>
    <w:lvl w:ilvl="2" w:tplc="1409001B" w:tentative="1">
      <w:start w:val="1"/>
      <w:numFmt w:val="lowerRoman"/>
      <w:lvlText w:val="%3."/>
      <w:lvlJc w:val="right"/>
      <w:pPr>
        <w:ind w:left="2162" w:hanging="180"/>
      </w:pPr>
    </w:lvl>
    <w:lvl w:ilvl="3" w:tplc="1409000F" w:tentative="1">
      <w:start w:val="1"/>
      <w:numFmt w:val="decimal"/>
      <w:lvlText w:val="%4."/>
      <w:lvlJc w:val="left"/>
      <w:pPr>
        <w:ind w:left="2882" w:hanging="360"/>
      </w:pPr>
    </w:lvl>
    <w:lvl w:ilvl="4" w:tplc="14090019" w:tentative="1">
      <w:start w:val="1"/>
      <w:numFmt w:val="lowerLetter"/>
      <w:lvlText w:val="%5."/>
      <w:lvlJc w:val="left"/>
      <w:pPr>
        <w:ind w:left="3602" w:hanging="360"/>
      </w:pPr>
    </w:lvl>
    <w:lvl w:ilvl="5" w:tplc="1409001B" w:tentative="1">
      <w:start w:val="1"/>
      <w:numFmt w:val="lowerRoman"/>
      <w:lvlText w:val="%6."/>
      <w:lvlJc w:val="right"/>
      <w:pPr>
        <w:ind w:left="4322" w:hanging="180"/>
      </w:pPr>
    </w:lvl>
    <w:lvl w:ilvl="6" w:tplc="1409000F" w:tentative="1">
      <w:start w:val="1"/>
      <w:numFmt w:val="decimal"/>
      <w:lvlText w:val="%7."/>
      <w:lvlJc w:val="left"/>
      <w:pPr>
        <w:ind w:left="5042" w:hanging="360"/>
      </w:pPr>
    </w:lvl>
    <w:lvl w:ilvl="7" w:tplc="14090019" w:tentative="1">
      <w:start w:val="1"/>
      <w:numFmt w:val="lowerLetter"/>
      <w:lvlText w:val="%8."/>
      <w:lvlJc w:val="left"/>
      <w:pPr>
        <w:ind w:left="5762" w:hanging="360"/>
      </w:pPr>
    </w:lvl>
    <w:lvl w:ilvl="8" w:tplc="1409001B" w:tentative="1">
      <w:start w:val="1"/>
      <w:numFmt w:val="lowerRoman"/>
      <w:lvlText w:val="%9."/>
      <w:lvlJc w:val="right"/>
      <w:pPr>
        <w:ind w:left="6482" w:hanging="180"/>
      </w:pPr>
    </w:lvl>
  </w:abstractNum>
  <w:abstractNum w:abstractNumId="2" w15:restartNumberingAfterBreak="0">
    <w:nsid w:val="0A690EFD"/>
    <w:multiLevelType w:val="hybridMultilevel"/>
    <w:tmpl w:val="491C41AA"/>
    <w:lvl w:ilvl="0" w:tplc="39BC563A">
      <w:start w:val="1"/>
      <w:numFmt w:val="decimal"/>
      <w:lvlText w:val="%1."/>
      <w:lvlJc w:val="left"/>
      <w:pPr>
        <w:ind w:left="692" w:hanging="690"/>
      </w:pPr>
      <w:rPr>
        <w:rFonts w:hint="default"/>
      </w:rPr>
    </w:lvl>
    <w:lvl w:ilvl="1" w:tplc="14090019" w:tentative="1">
      <w:start w:val="1"/>
      <w:numFmt w:val="lowerLetter"/>
      <w:lvlText w:val="%2."/>
      <w:lvlJc w:val="left"/>
      <w:pPr>
        <w:ind w:left="1082" w:hanging="360"/>
      </w:pPr>
    </w:lvl>
    <w:lvl w:ilvl="2" w:tplc="1409001B" w:tentative="1">
      <w:start w:val="1"/>
      <w:numFmt w:val="lowerRoman"/>
      <w:lvlText w:val="%3."/>
      <w:lvlJc w:val="right"/>
      <w:pPr>
        <w:ind w:left="1802" w:hanging="180"/>
      </w:pPr>
    </w:lvl>
    <w:lvl w:ilvl="3" w:tplc="1409000F" w:tentative="1">
      <w:start w:val="1"/>
      <w:numFmt w:val="decimal"/>
      <w:lvlText w:val="%4."/>
      <w:lvlJc w:val="left"/>
      <w:pPr>
        <w:ind w:left="2522" w:hanging="360"/>
      </w:pPr>
    </w:lvl>
    <w:lvl w:ilvl="4" w:tplc="14090019" w:tentative="1">
      <w:start w:val="1"/>
      <w:numFmt w:val="lowerLetter"/>
      <w:lvlText w:val="%5."/>
      <w:lvlJc w:val="left"/>
      <w:pPr>
        <w:ind w:left="3242" w:hanging="360"/>
      </w:pPr>
    </w:lvl>
    <w:lvl w:ilvl="5" w:tplc="1409001B" w:tentative="1">
      <w:start w:val="1"/>
      <w:numFmt w:val="lowerRoman"/>
      <w:lvlText w:val="%6."/>
      <w:lvlJc w:val="right"/>
      <w:pPr>
        <w:ind w:left="3962" w:hanging="180"/>
      </w:pPr>
    </w:lvl>
    <w:lvl w:ilvl="6" w:tplc="1409000F" w:tentative="1">
      <w:start w:val="1"/>
      <w:numFmt w:val="decimal"/>
      <w:lvlText w:val="%7."/>
      <w:lvlJc w:val="left"/>
      <w:pPr>
        <w:ind w:left="4682" w:hanging="360"/>
      </w:pPr>
    </w:lvl>
    <w:lvl w:ilvl="7" w:tplc="14090019" w:tentative="1">
      <w:start w:val="1"/>
      <w:numFmt w:val="lowerLetter"/>
      <w:lvlText w:val="%8."/>
      <w:lvlJc w:val="left"/>
      <w:pPr>
        <w:ind w:left="5402" w:hanging="360"/>
      </w:pPr>
    </w:lvl>
    <w:lvl w:ilvl="8" w:tplc="1409001B" w:tentative="1">
      <w:start w:val="1"/>
      <w:numFmt w:val="lowerRoman"/>
      <w:lvlText w:val="%9."/>
      <w:lvlJc w:val="right"/>
      <w:pPr>
        <w:ind w:left="6122" w:hanging="180"/>
      </w:pPr>
    </w:lvl>
  </w:abstractNum>
  <w:abstractNum w:abstractNumId="3" w15:restartNumberingAfterBreak="0">
    <w:nsid w:val="1DA450CF"/>
    <w:multiLevelType w:val="multilevel"/>
    <w:tmpl w:val="C3180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C24EF7"/>
    <w:multiLevelType w:val="hybridMultilevel"/>
    <w:tmpl w:val="E43A36FA"/>
    <w:lvl w:ilvl="0" w:tplc="1409000F">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542C4A"/>
    <w:multiLevelType w:val="hybridMultilevel"/>
    <w:tmpl w:val="E43A36FA"/>
    <w:lvl w:ilvl="0" w:tplc="1409000F">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CA451B"/>
    <w:multiLevelType w:val="hybridMultilevel"/>
    <w:tmpl w:val="67824F22"/>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3BB428E6"/>
    <w:multiLevelType w:val="hybridMultilevel"/>
    <w:tmpl w:val="67824F22"/>
    <w:lvl w:ilvl="0" w:tplc="14090017">
      <w:start w:val="1"/>
      <w:numFmt w:val="lowerLetter"/>
      <w:lvlText w:val="%1)"/>
      <w:lvlJc w:val="left"/>
      <w:pPr>
        <w:ind w:left="1772" w:hanging="360"/>
      </w:pPr>
    </w:lvl>
    <w:lvl w:ilvl="1" w:tplc="14090019" w:tentative="1">
      <w:start w:val="1"/>
      <w:numFmt w:val="lowerLetter"/>
      <w:lvlText w:val="%2."/>
      <w:lvlJc w:val="left"/>
      <w:pPr>
        <w:ind w:left="2492" w:hanging="360"/>
      </w:pPr>
    </w:lvl>
    <w:lvl w:ilvl="2" w:tplc="1409001B" w:tentative="1">
      <w:start w:val="1"/>
      <w:numFmt w:val="lowerRoman"/>
      <w:lvlText w:val="%3."/>
      <w:lvlJc w:val="right"/>
      <w:pPr>
        <w:ind w:left="3212" w:hanging="180"/>
      </w:pPr>
    </w:lvl>
    <w:lvl w:ilvl="3" w:tplc="1409000F" w:tentative="1">
      <w:start w:val="1"/>
      <w:numFmt w:val="decimal"/>
      <w:lvlText w:val="%4."/>
      <w:lvlJc w:val="left"/>
      <w:pPr>
        <w:ind w:left="3932" w:hanging="360"/>
      </w:pPr>
    </w:lvl>
    <w:lvl w:ilvl="4" w:tplc="14090019" w:tentative="1">
      <w:start w:val="1"/>
      <w:numFmt w:val="lowerLetter"/>
      <w:lvlText w:val="%5."/>
      <w:lvlJc w:val="left"/>
      <w:pPr>
        <w:ind w:left="4652" w:hanging="360"/>
      </w:pPr>
    </w:lvl>
    <w:lvl w:ilvl="5" w:tplc="1409001B" w:tentative="1">
      <w:start w:val="1"/>
      <w:numFmt w:val="lowerRoman"/>
      <w:lvlText w:val="%6."/>
      <w:lvlJc w:val="right"/>
      <w:pPr>
        <w:ind w:left="5372" w:hanging="180"/>
      </w:pPr>
    </w:lvl>
    <w:lvl w:ilvl="6" w:tplc="1409000F" w:tentative="1">
      <w:start w:val="1"/>
      <w:numFmt w:val="decimal"/>
      <w:lvlText w:val="%7."/>
      <w:lvlJc w:val="left"/>
      <w:pPr>
        <w:ind w:left="6092" w:hanging="360"/>
      </w:pPr>
    </w:lvl>
    <w:lvl w:ilvl="7" w:tplc="14090019" w:tentative="1">
      <w:start w:val="1"/>
      <w:numFmt w:val="lowerLetter"/>
      <w:lvlText w:val="%8."/>
      <w:lvlJc w:val="left"/>
      <w:pPr>
        <w:ind w:left="6812" w:hanging="360"/>
      </w:pPr>
    </w:lvl>
    <w:lvl w:ilvl="8" w:tplc="1409001B" w:tentative="1">
      <w:start w:val="1"/>
      <w:numFmt w:val="lowerRoman"/>
      <w:lvlText w:val="%9."/>
      <w:lvlJc w:val="right"/>
      <w:pPr>
        <w:ind w:left="7532" w:hanging="180"/>
      </w:pPr>
    </w:lvl>
  </w:abstractNum>
  <w:abstractNum w:abstractNumId="8" w15:restartNumberingAfterBreak="0">
    <w:nsid w:val="4A2651DC"/>
    <w:multiLevelType w:val="hybridMultilevel"/>
    <w:tmpl w:val="67824F22"/>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50435A87"/>
    <w:multiLevelType w:val="hybridMultilevel"/>
    <w:tmpl w:val="67824F22"/>
    <w:lvl w:ilvl="0" w:tplc="14090017">
      <w:start w:val="1"/>
      <w:numFmt w:val="lowerLetter"/>
      <w:lvlText w:val="%1)"/>
      <w:lvlJc w:val="left"/>
      <w:pPr>
        <w:ind w:left="1772" w:hanging="360"/>
      </w:pPr>
    </w:lvl>
    <w:lvl w:ilvl="1" w:tplc="14090019" w:tentative="1">
      <w:start w:val="1"/>
      <w:numFmt w:val="lowerLetter"/>
      <w:lvlText w:val="%2."/>
      <w:lvlJc w:val="left"/>
      <w:pPr>
        <w:ind w:left="2492" w:hanging="360"/>
      </w:pPr>
    </w:lvl>
    <w:lvl w:ilvl="2" w:tplc="1409001B" w:tentative="1">
      <w:start w:val="1"/>
      <w:numFmt w:val="lowerRoman"/>
      <w:lvlText w:val="%3."/>
      <w:lvlJc w:val="right"/>
      <w:pPr>
        <w:ind w:left="3212" w:hanging="180"/>
      </w:pPr>
    </w:lvl>
    <w:lvl w:ilvl="3" w:tplc="1409000F" w:tentative="1">
      <w:start w:val="1"/>
      <w:numFmt w:val="decimal"/>
      <w:lvlText w:val="%4."/>
      <w:lvlJc w:val="left"/>
      <w:pPr>
        <w:ind w:left="3932" w:hanging="360"/>
      </w:pPr>
    </w:lvl>
    <w:lvl w:ilvl="4" w:tplc="14090019" w:tentative="1">
      <w:start w:val="1"/>
      <w:numFmt w:val="lowerLetter"/>
      <w:lvlText w:val="%5."/>
      <w:lvlJc w:val="left"/>
      <w:pPr>
        <w:ind w:left="4652" w:hanging="360"/>
      </w:pPr>
    </w:lvl>
    <w:lvl w:ilvl="5" w:tplc="1409001B" w:tentative="1">
      <w:start w:val="1"/>
      <w:numFmt w:val="lowerRoman"/>
      <w:lvlText w:val="%6."/>
      <w:lvlJc w:val="right"/>
      <w:pPr>
        <w:ind w:left="5372" w:hanging="180"/>
      </w:pPr>
    </w:lvl>
    <w:lvl w:ilvl="6" w:tplc="1409000F" w:tentative="1">
      <w:start w:val="1"/>
      <w:numFmt w:val="decimal"/>
      <w:lvlText w:val="%7."/>
      <w:lvlJc w:val="left"/>
      <w:pPr>
        <w:ind w:left="6092" w:hanging="360"/>
      </w:pPr>
    </w:lvl>
    <w:lvl w:ilvl="7" w:tplc="14090019" w:tentative="1">
      <w:start w:val="1"/>
      <w:numFmt w:val="lowerLetter"/>
      <w:lvlText w:val="%8."/>
      <w:lvlJc w:val="left"/>
      <w:pPr>
        <w:ind w:left="6812" w:hanging="360"/>
      </w:pPr>
    </w:lvl>
    <w:lvl w:ilvl="8" w:tplc="1409001B" w:tentative="1">
      <w:start w:val="1"/>
      <w:numFmt w:val="lowerRoman"/>
      <w:lvlText w:val="%9."/>
      <w:lvlJc w:val="right"/>
      <w:pPr>
        <w:ind w:left="7532" w:hanging="180"/>
      </w:pPr>
    </w:lvl>
  </w:abstractNum>
  <w:abstractNum w:abstractNumId="10" w15:restartNumberingAfterBreak="0">
    <w:nsid w:val="5FEB7DCD"/>
    <w:multiLevelType w:val="hybridMultilevel"/>
    <w:tmpl w:val="A044BB8A"/>
    <w:lvl w:ilvl="0" w:tplc="2FB6E0D8">
      <w:start w:val="1"/>
      <w:numFmt w:val="bullet"/>
      <w:lvlText w:val=""/>
      <w:lvlJc w:val="left"/>
      <w:pPr>
        <w:ind w:left="720" w:hanging="360"/>
      </w:pPr>
      <w:rPr>
        <w:rFonts w:ascii="Symbol" w:hAnsi="Symbol" w:hint="default"/>
        <w:sz w:val="72"/>
        <w:szCs w:val="7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08778DD"/>
    <w:multiLevelType w:val="hybridMultilevel"/>
    <w:tmpl w:val="67824F22"/>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7B566526"/>
    <w:multiLevelType w:val="hybridMultilevel"/>
    <w:tmpl w:val="FCD0557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7E27728E"/>
    <w:multiLevelType w:val="hybridMultilevel"/>
    <w:tmpl w:val="00CE318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7"/>
  </w:num>
  <w:num w:numId="3">
    <w:abstractNumId w:val="12"/>
  </w:num>
  <w:num w:numId="4">
    <w:abstractNumId w:val="9"/>
  </w:num>
  <w:num w:numId="5">
    <w:abstractNumId w:val="1"/>
  </w:num>
  <w:num w:numId="6">
    <w:abstractNumId w:val="3"/>
  </w:num>
  <w:num w:numId="7">
    <w:abstractNumId w:val="10"/>
  </w:num>
  <w:num w:numId="8">
    <w:abstractNumId w:val="0"/>
  </w:num>
  <w:num w:numId="9">
    <w:abstractNumId w:val="4"/>
  </w:num>
  <w:num w:numId="10">
    <w:abstractNumId w:val="5"/>
  </w:num>
  <w:num w:numId="11">
    <w:abstractNumId w:val="11"/>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A1"/>
    <w:rsid w:val="000135A9"/>
    <w:rsid w:val="00042E39"/>
    <w:rsid w:val="00044DA2"/>
    <w:rsid w:val="00086251"/>
    <w:rsid w:val="00091AA7"/>
    <w:rsid w:val="000C1461"/>
    <w:rsid w:val="000E7F03"/>
    <w:rsid w:val="000F28ED"/>
    <w:rsid w:val="00107B19"/>
    <w:rsid w:val="00111B4B"/>
    <w:rsid w:val="00127142"/>
    <w:rsid w:val="001710B7"/>
    <w:rsid w:val="00172403"/>
    <w:rsid w:val="00194BDD"/>
    <w:rsid w:val="00196A63"/>
    <w:rsid w:val="001A4231"/>
    <w:rsid w:val="001B61D1"/>
    <w:rsid w:val="001B62CD"/>
    <w:rsid w:val="001C4617"/>
    <w:rsid w:val="001C66D8"/>
    <w:rsid w:val="001E6F7E"/>
    <w:rsid w:val="001F69F6"/>
    <w:rsid w:val="00200CA4"/>
    <w:rsid w:val="00203932"/>
    <w:rsid w:val="00214F80"/>
    <w:rsid w:val="00217851"/>
    <w:rsid w:val="0024067B"/>
    <w:rsid w:val="0025160C"/>
    <w:rsid w:val="00252C72"/>
    <w:rsid w:val="0028126E"/>
    <w:rsid w:val="00284EF5"/>
    <w:rsid w:val="00287BE9"/>
    <w:rsid w:val="00290396"/>
    <w:rsid w:val="002917BF"/>
    <w:rsid w:val="002A0019"/>
    <w:rsid w:val="002B0987"/>
    <w:rsid w:val="002B7865"/>
    <w:rsid w:val="002B7A40"/>
    <w:rsid w:val="002C61C9"/>
    <w:rsid w:val="002D04B1"/>
    <w:rsid w:val="002D327D"/>
    <w:rsid w:val="002D76D4"/>
    <w:rsid w:val="002F4276"/>
    <w:rsid w:val="002F6BDF"/>
    <w:rsid w:val="002F722B"/>
    <w:rsid w:val="003048D9"/>
    <w:rsid w:val="00311138"/>
    <w:rsid w:val="00314F58"/>
    <w:rsid w:val="00335FEB"/>
    <w:rsid w:val="00346A77"/>
    <w:rsid w:val="00350495"/>
    <w:rsid w:val="0036555F"/>
    <w:rsid w:val="00380860"/>
    <w:rsid w:val="0038228F"/>
    <w:rsid w:val="00387659"/>
    <w:rsid w:val="00393D7C"/>
    <w:rsid w:val="003D4424"/>
    <w:rsid w:val="003D5BBA"/>
    <w:rsid w:val="003E64D2"/>
    <w:rsid w:val="003F028F"/>
    <w:rsid w:val="003F27A7"/>
    <w:rsid w:val="003F6AFD"/>
    <w:rsid w:val="00400E90"/>
    <w:rsid w:val="00406274"/>
    <w:rsid w:val="00410D66"/>
    <w:rsid w:val="0041517A"/>
    <w:rsid w:val="00420509"/>
    <w:rsid w:val="004374ED"/>
    <w:rsid w:val="004566FC"/>
    <w:rsid w:val="00466A88"/>
    <w:rsid w:val="0047178A"/>
    <w:rsid w:val="00473A03"/>
    <w:rsid w:val="00474D51"/>
    <w:rsid w:val="00476FFE"/>
    <w:rsid w:val="00480466"/>
    <w:rsid w:val="004878BD"/>
    <w:rsid w:val="00490AC7"/>
    <w:rsid w:val="004924BE"/>
    <w:rsid w:val="004936A1"/>
    <w:rsid w:val="00497C16"/>
    <w:rsid w:val="004A51B3"/>
    <w:rsid w:val="004B2071"/>
    <w:rsid w:val="004B5032"/>
    <w:rsid w:val="004B5741"/>
    <w:rsid w:val="004C356F"/>
    <w:rsid w:val="004D7F11"/>
    <w:rsid w:val="004E4D22"/>
    <w:rsid w:val="004E784E"/>
    <w:rsid w:val="0050075C"/>
    <w:rsid w:val="00546E60"/>
    <w:rsid w:val="00552596"/>
    <w:rsid w:val="00557B01"/>
    <w:rsid w:val="005618EB"/>
    <w:rsid w:val="005644C3"/>
    <w:rsid w:val="00566843"/>
    <w:rsid w:val="00566FAC"/>
    <w:rsid w:val="005773A8"/>
    <w:rsid w:val="00591735"/>
    <w:rsid w:val="005932CF"/>
    <w:rsid w:val="005A0A63"/>
    <w:rsid w:val="005B31DC"/>
    <w:rsid w:val="005C0605"/>
    <w:rsid w:val="005C34DB"/>
    <w:rsid w:val="005D063C"/>
    <w:rsid w:val="005E4262"/>
    <w:rsid w:val="005E6FE6"/>
    <w:rsid w:val="005F5CAD"/>
    <w:rsid w:val="005F77EB"/>
    <w:rsid w:val="00635069"/>
    <w:rsid w:val="00635328"/>
    <w:rsid w:val="00654C0F"/>
    <w:rsid w:val="006716F7"/>
    <w:rsid w:val="0067470D"/>
    <w:rsid w:val="006756B3"/>
    <w:rsid w:val="0069137A"/>
    <w:rsid w:val="006A1D48"/>
    <w:rsid w:val="006A65EC"/>
    <w:rsid w:val="006D1B4E"/>
    <w:rsid w:val="006D447F"/>
    <w:rsid w:val="006F01AF"/>
    <w:rsid w:val="006F0D45"/>
    <w:rsid w:val="006F39DF"/>
    <w:rsid w:val="006F69DD"/>
    <w:rsid w:val="00726B60"/>
    <w:rsid w:val="00733F48"/>
    <w:rsid w:val="00743230"/>
    <w:rsid w:val="00743427"/>
    <w:rsid w:val="00752A41"/>
    <w:rsid w:val="00760404"/>
    <w:rsid w:val="00762F60"/>
    <w:rsid w:val="00765835"/>
    <w:rsid w:val="00771F10"/>
    <w:rsid w:val="0079138B"/>
    <w:rsid w:val="00792338"/>
    <w:rsid w:val="007B04C8"/>
    <w:rsid w:val="007C6114"/>
    <w:rsid w:val="007E3901"/>
    <w:rsid w:val="007F1A05"/>
    <w:rsid w:val="007F3682"/>
    <w:rsid w:val="00800084"/>
    <w:rsid w:val="00806A0F"/>
    <w:rsid w:val="0080701A"/>
    <w:rsid w:val="00825F62"/>
    <w:rsid w:val="00830DAF"/>
    <w:rsid w:val="00831C15"/>
    <w:rsid w:val="00831D2C"/>
    <w:rsid w:val="00836C8A"/>
    <w:rsid w:val="00850125"/>
    <w:rsid w:val="008509F0"/>
    <w:rsid w:val="00853646"/>
    <w:rsid w:val="00860E3B"/>
    <w:rsid w:val="0087444C"/>
    <w:rsid w:val="0088424D"/>
    <w:rsid w:val="008914CF"/>
    <w:rsid w:val="00891B2E"/>
    <w:rsid w:val="00893E49"/>
    <w:rsid w:val="008A6439"/>
    <w:rsid w:val="008B0C16"/>
    <w:rsid w:val="008D6D67"/>
    <w:rsid w:val="008D750F"/>
    <w:rsid w:val="008D7852"/>
    <w:rsid w:val="008F3039"/>
    <w:rsid w:val="00922EC8"/>
    <w:rsid w:val="00926605"/>
    <w:rsid w:val="00926FF0"/>
    <w:rsid w:val="00927EB5"/>
    <w:rsid w:val="009350B3"/>
    <w:rsid w:val="00935DE0"/>
    <w:rsid w:val="00944F28"/>
    <w:rsid w:val="00946AC2"/>
    <w:rsid w:val="00951875"/>
    <w:rsid w:val="00955470"/>
    <w:rsid w:val="00961E29"/>
    <w:rsid w:val="0096486F"/>
    <w:rsid w:val="00970ED7"/>
    <w:rsid w:val="00973988"/>
    <w:rsid w:val="00974A4C"/>
    <w:rsid w:val="009769D0"/>
    <w:rsid w:val="00987E33"/>
    <w:rsid w:val="009A09E1"/>
    <w:rsid w:val="009A0A9F"/>
    <w:rsid w:val="009D07B4"/>
    <w:rsid w:val="009E349C"/>
    <w:rsid w:val="009E3B54"/>
    <w:rsid w:val="009E3BF2"/>
    <w:rsid w:val="009F1E88"/>
    <w:rsid w:val="009F79CB"/>
    <w:rsid w:val="00A133AC"/>
    <w:rsid w:val="00A22E62"/>
    <w:rsid w:val="00A25039"/>
    <w:rsid w:val="00A31C46"/>
    <w:rsid w:val="00A45B92"/>
    <w:rsid w:val="00A51D85"/>
    <w:rsid w:val="00A543DD"/>
    <w:rsid w:val="00A70FB6"/>
    <w:rsid w:val="00A71662"/>
    <w:rsid w:val="00A8284F"/>
    <w:rsid w:val="00A84BF3"/>
    <w:rsid w:val="00A85028"/>
    <w:rsid w:val="00A872BE"/>
    <w:rsid w:val="00A93838"/>
    <w:rsid w:val="00AA0956"/>
    <w:rsid w:val="00AB3E05"/>
    <w:rsid w:val="00AD25ED"/>
    <w:rsid w:val="00AD2629"/>
    <w:rsid w:val="00AE550A"/>
    <w:rsid w:val="00AF22A9"/>
    <w:rsid w:val="00AF6713"/>
    <w:rsid w:val="00B05BB1"/>
    <w:rsid w:val="00B0617B"/>
    <w:rsid w:val="00B075F3"/>
    <w:rsid w:val="00B2692C"/>
    <w:rsid w:val="00B54395"/>
    <w:rsid w:val="00B62CA6"/>
    <w:rsid w:val="00B6502E"/>
    <w:rsid w:val="00B87314"/>
    <w:rsid w:val="00B93DED"/>
    <w:rsid w:val="00BA345C"/>
    <w:rsid w:val="00BA7350"/>
    <w:rsid w:val="00BB5C6A"/>
    <w:rsid w:val="00BE2207"/>
    <w:rsid w:val="00C31881"/>
    <w:rsid w:val="00C33FD8"/>
    <w:rsid w:val="00C40091"/>
    <w:rsid w:val="00C51ADE"/>
    <w:rsid w:val="00C52C87"/>
    <w:rsid w:val="00C56E35"/>
    <w:rsid w:val="00C610C3"/>
    <w:rsid w:val="00C675D6"/>
    <w:rsid w:val="00C813D5"/>
    <w:rsid w:val="00CB12E1"/>
    <w:rsid w:val="00CC0AD2"/>
    <w:rsid w:val="00CC0D6B"/>
    <w:rsid w:val="00CC62DC"/>
    <w:rsid w:val="00CD00B4"/>
    <w:rsid w:val="00CD3543"/>
    <w:rsid w:val="00CE70E2"/>
    <w:rsid w:val="00CF35C1"/>
    <w:rsid w:val="00CF7602"/>
    <w:rsid w:val="00D00493"/>
    <w:rsid w:val="00D11CD3"/>
    <w:rsid w:val="00D21A74"/>
    <w:rsid w:val="00D25504"/>
    <w:rsid w:val="00D2695A"/>
    <w:rsid w:val="00D3202B"/>
    <w:rsid w:val="00D61354"/>
    <w:rsid w:val="00D67202"/>
    <w:rsid w:val="00D67BB0"/>
    <w:rsid w:val="00D815F4"/>
    <w:rsid w:val="00DA2476"/>
    <w:rsid w:val="00DA2C3A"/>
    <w:rsid w:val="00DB0A79"/>
    <w:rsid w:val="00DB4376"/>
    <w:rsid w:val="00DB6775"/>
    <w:rsid w:val="00DD1055"/>
    <w:rsid w:val="00DE7B98"/>
    <w:rsid w:val="00DF689A"/>
    <w:rsid w:val="00E01FE3"/>
    <w:rsid w:val="00E06DF3"/>
    <w:rsid w:val="00E130BE"/>
    <w:rsid w:val="00E1654A"/>
    <w:rsid w:val="00E24B04"/>
    <w:rsid w:val="00E40577"/>
    <w:rsid w:val="00E42A24"/>
    <w:rsid w:val="00E438DD"/>
    <w:rsid w:val="00E447E3"/>
    <w:rsid w:val="00E5007B"/>
    <w:rsid w:val="00E7449B"/>
    <w:rsid w:val="00E83181"/>
    <w:rsid w:val="00E83D2E"/>
    <w:rsid w:val="00EA41E5"/>
    <w:rsid w:val="00EB3719"/>
    <w:rsid w:val="00EB6C70"/>
    <w:rsid w:val="00EC7D4A"/>
    <w:rsid w:val="00ED7057"/>
    <w:rsid w:val="00EE3C6D"/>
    <w:rsid w:val="00EE484D"/>
    <w:rsid w:val="00EE6979"/>
    <w:rsid w:val="00EF478F"/>
    <w:rsid w:val="00EF4C4C"/>
    <w:rsid w:val="00EF60A2"/>
    <w:rsid w:val="00F025C9"/>
    <w:rsid w:val="00F0323E"/>
    <w:rsid w:val="00F04037"/>
    <w:rsid w:val="00F203D7"/>
    <w:rsid w:val="00F220E3"/>
    <w:rsid w:val="00F2698A"/>
    <w:rsid w:val="00F27856"/>
    <w:rsid w:val="00F307A1"/>
    <w:rsid w:val="00F34D51"/>
    <w:rsid w:val="00F440FA"/>
    <w:rsid w:val="00F519BE"/>
    <w:rsid w:val="00F6514B"/>
    <w:rsid w:val="00F6656F"/>
    <w:rsid w:val="00F73E07"/>
    <w:rsid w:val="00F84CE8"/>
    <w:rsid w:val="00F9008E"/>
    <w:rsid w:val="00F94944"/>
    <w:rsid w:val="00F975FA"/>
    <w:rsid w:val="00FA4A08"/>
    <w:rsid w:val="00FA7D0D"/>
    <w:rsid w:val="00FB7939"/>
    <w:rsid w:val="00FC412D"/>
    <w:rsid w:val="00FD04AE"/>
    <w:rsid w:val="00FF09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D8CD9C"/>
  <w15:chartTrackingRefBased/>
  <w15:docId w15:val="{78F2B3AF-C9D2-4D52-B35D-9D6FF5AE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F09DF"/>
    <w:rPr>
      <w:rFonts w:ascii="Archer Book" w:hAnsi="Archer Book"/>
    </w:rPr>
  </w:style>
  <w:style w:type="paragraph" w:styleId="Heading1">
    <w:name w:val="heading 1"/>
    <w:basedOn w:val="Normal"/>
    <w:next w:val="Normal"/>
    <w:link w:val="Heading1Char"/>
    <w:uiPriority w:val="9"/>
    <w:qFormat/>
    <w:rsid w:val="001E6F7E"/>
    <w:pPr>
      <w:keepNext/>
      <w:keepLines/>
      <w:spacing w:before="240" w:after="0"/>
      <w:outlineLvl w:val="0"/>
    </w:pPr>
    <w:rPr>
      <w:rFonts w:ascii="Archer Semibold" w:eastAsiaTheme="majorEastAsia" w:hAnsi="Archer Semibold"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E6F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9DF"/>
    <w:rPr>
      <w:color w:val="0000FF"/>
      <w:u w:val="single"/>
    </w:rPr>
  </w:style>
  <w:style w:type="character" w:styleId="Strong">
    <w:name w:val="Strong"/>
    <w:uiPriority w:val="22"/>
    <w:qFormat/>
    <w:rsid w:val="00D21A74"/>
    <w:rPr>
      <w:rFonts w:ascii="Archer Semibold" w:hAnsi="Archer Semibold"/>
      <w:b/>
      <w:bCs/>
    </w:rPr>
  </w:style>
  <w:style w:type="character" w:styleId="SubtleEmphasis">
    <w:name w:val="Subtle Emphasis"/>
    <w:basedOn w:val="DefaultParagraphFont"/>
    <w:uiPriority w:val="19"/>
    <w:qFormat/>
    <w:rsid w:val="00D21A74"/>
    <w:rPr>
      <w:i/>
      <w:iCs/>
      <w:color w:val="404040" w:themeColor="text1" w:themeTint="BF"/>
    </w:rPr>
  </w:style>
  <w:style w:type="paragraph" w:styleId="Subtitle">
    <w:name w:val="Subtitle"/>
    <w:basedOn w:val="Normal"/>
    <w:next w:val="Normal"/>
    <w:link w:val="SubtitleChar"/>
    <w:uiPriority w:val="11"/>
    <w:qFormat/>
    <w:rsid w:val="00D21A74"/>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21A74"/>
    <w:rPr>
      <w:rFonts w:eastAsiaTheme="minorEastAsia"/>
      <w:color w:val="5A5A5A" w:themeColor="text1" w:themeTint="A5"/>
      <w:spacing w:val="15"/>
    </w:rPr>
  </w:style>
  <w:style w:type="character" w:styleId="Emphasis">
    <w:name w:val="Emphasis"/>
    <w:basedOn w:val="DefaultParagraphFont"/>
    <w:uiPriority w:val="20"/>
    <w:qFormat/>
    <w:rsid w:val="00D21A74"/>
    <w:rPr>
      <w:i/>
      <w:iCs/>
    </w:rPr>
  </w:style>
  <w:style w:type="table" w:styleId="TableGrid">
    <w:name w:val="Table Grid"/>
    <w:basedOn w:val="TableNormal"/>
    <w:uiPriority w:val="39"/>
    <w:rsid w:val="008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439"/>
    <w:pPr>
      <w:ind w:left="720"/>
      <w:contextualSpacing/>
    </w:pPr>
  </w:style>
  <w:style w:type="character" w:customStyle="1" w:styleId="Heading1Char">
    <w:name w:val="Heading 1 Char"/>
    <w:basedOn w:val="DefaultParagraphFont"/>
    <w:link w:val="Heading1"/>
    <w:uiPriority w:val="9"/>
    <w:rsid w:val="001E6F7E"/>
    <w:rPr>
      <w:rFonts w:ascii="Archer Semibold" w:eastAsiaTheme="majorEastAsia" w:hAnsi="Archer Semibold" w:cstheme="majorBidi"/>
      <w:b/>
      <w:color w:val="2E74B5" w:themeColor="accent1" w:themeShade="BF"/>
      <w:sz w:val="32"/>
      <w:szCs w:val="32"/>
    </w:rPr>
  </w:style>
  <w:style w:type="character" w:customStyle="1" w:styleId="Heading2Char">
    <w:name w:val="Heading 2 Char"/>
    <w:basedOn w:val="DefaultParagraphFont"/>
    <w:link w:val="Heading2"/>
    <w:uiPriority w:val="9"/>
    <w:rsid w:val="001E6F7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D7057"/>
    <w:rPr>
      <w:sz w:val="16"/>
      <w:szCs w:val="16"/>
    </w:rPr>
  </w:style>
  <w:style w:type="paragraph" w:styleId="CommentText">
    <w:name w:val="annotation text"/>
    <w:basedOn w:val="Normal"/>
    <w:link w:val="CommentTextChar"/>
    <w:uiPriority w:val="99"/>
    <w:semiHidden/>
    <w:unhideWhenUsed/>
    <w:rsid w:val="00ED7057"/>
    <w:pPr>
      <w:spacing w:line="240" w:lineRule="auto"/>
    </w:pPr>
    <w:rPr>
      <w:sz w:val="20"/>
      <w:szCs w:val="20"/>
    </w:rPr>
  </w:style>
  <w:style w:type="character" w:customStyle="1" w:styleId="CommentTextChar">
    <w:name w:val="Comment Text Char"/>
    <w:basedOn w:val="DefaultParagraphFont"/>
    <w:link w:val="CommentText"/>
    <w:uiPriority w:val="99"/>
    <w:semiHidden/>
    <w:rsid w:val="00ED7057"/>
    <w:rPr>
      <w:rFonts w:ascii="Archer Book" w:hAnsi="Archer Book"/>
      <w:sz w:val="20"/>
      <w:szCs w:val="20"/>
    </w:rPr>
  </w:style>
  <w:style w:type="paragraph" w:styleId="BalloonText">
    <w:name w:val="Balloon Text"/>
    <w:basedOn w:val="Normal"/>
    <w:link w:val="BalloonTextChar"/>
    <w:uiPriority w:val="99"/>
    <w:semiHidden/>
    <w:unhideWhenUsed/>
    <w:rsid w:val="00ED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057"/>
    <w:rPr>
      <w:rFonts w:ascii="Segoe UI" w:hAnsi="Segoe UI" w:cs="Segoe UI"/>
      <w:sz w:val="18"/>
      <w:szCs w:val="18"/>
    </w:rPr>
  </w:style>
  <w:style w:type="paragraph" w:styleId="Title">
    <w:name w:val="Title"/>
    <w:basedOn w:val="Normal"/>
    <w:next w:val="Normal"/>
    <w:link w:val="TitleChar"/>
    <w:uiPriority w:val="10"/>
    <w:qFormat/>
    <w:rsid w:val="001E6F7E"/>
    <w:pPr>
      <w:spacing w:after="0" w:line="240" w:lineRule="auto"/>
      <w:contextualSpacing/>
    </w:pPr>
    <w:rPr>
      <w:rFonts w:ascii="Archer Semibold" w:eastAsiaTheme="majorEastAsia" w:hAnsi="Archer Semibold" w:cstheme="majorBidi"/>
      <w:b/>
      <w:color w:val="2E74B5" w:themeColor="accent1" w:themeShade="BF"/>
      <w:spacing w:val="-10"/>
      <w:kern w:val="28"/>
      <w:sz w:val="56"/>
      <w:szCs w:val="56"/>
    </w:rPr>
  </w:style>
  <w:style w:type="character" w:customStyle="1" w:styleId="TitleChar">
    <w:name w:val="Title Char"/>
    <w:basedOn w:val="DefaultParagraphFont"/>
    <w:link w:val="Title"/>
    <w:uiPriority w:val="10"/>
    <w:rsid w:val="001E6F7E"/>
    <w:rPr>
      <w:rFonts w:ascii="Archer Semibold" w:eastAsiaTheme="majorEastAsia" w:hAnsi="Archer Semibold" w:cstheme="majorBidi"/>
      <w:b/>
      <w:color w:val="2E74B5" w:themeColor="accent1" w:themeShade="BF"/>
      <w:spacing w:val="-10"/>
      <w:kern w:val="28"/>
      <w:sz w:val="56"/>
      <w:szCs w:val="56"/>
    </w:rPr>
  </w:style>
  <w:style w:type="paragraph" w:styleId="Header">
    <w:name w:val="header"/>
    <w:basedOn w:val="Normal"/>
    <w:link w:val="HeaderChar"/>
    <w:uiPriority w:val="99"/>
    <w:unhideWhenUsed/>
    <w:rsid w:val="0072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B60"/>
    <w:rPr>
      <w:rFonts w:ascii="Archer Book" w:hAnsi="Archer Book"/>
    </w:rPr>
  </w:style>
  <w:style w:type="paragraph" w:styleId="Footer">
    <w:name w:val="footer"/>
    <w:basedOn w:val="Normal"/>
    <w:link w:val="FooterChar"/>
    <w:uiPriority w:val="99"/>
    <w:unhideWhenUsed/>
    <w:rsid w:val="0072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B60"/>
    <w:rPr>
      <w:rFonts w:ascii="Archer Book" w:hAnsi="Archer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usiness.govt.nz/worksafe/about/what-we-do/adventure-activities/images-files-documents/new-zealand-adventure-activities-certification-scheme-803-kb-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usiness.govt.nz/worksafe/about/what-we-do/adventure-activities/images-files-documents/new-zealand-adventure-activities-certification-scheme-803-kb-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govt.nz/worksafe/about/what-we-do/adventure-activit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usiness.govt.nz/worksafe/hswa/mythbusting/business" TargetMode="External"/><Relationship Id="rId4" Type="http://schemas.openxmlformats.org/officeDocument/2006/relationships/webSettings" Target="webSettings.xml"/><Relationship Id="rId9" Type="http://schemas.openxmlformats.org/officeDocument/2006/relationships/hyperlink" Target="mailto:agilby@doc.govt.nz" TargetMode="External"/><Relationship Id="rId14" Type="http://schemas.openxmlformats.org/officeDocument/2006/relationships/hyperlink" Target="mailto:agilby@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6AA5120E</Template>
  <TotalTime>0</TotalTime>
  <Pages>4</Pages>
  <Words>1167</Words>
  <Characters>6656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Wrightson</dc:creator>
  <cp:keywords/>
  <dc:description/>
  <cp:lastModifiedBy>Beverley Bacon</cp:lastModifiedBy>
  <cp:revision>2</cp:revision>
  <dcterms:created xsi:type="dcterms:W3CDTF">2017-06-15T21:20:00Z</dcterms:created>
  <dcterms:modified xsi:type="dcterms:W3CDTF">2017-06-15T21:20:00Z</dcterms:modified>
</cp:coreProperties>
</file>